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B0748">
            <w:pPr>
              <w:rPr>
                <w:rFonts w:ascii="Arial" w:hAnsi="Arial"/>
              </w:rPr>
            </w:pPr>
            <w:r>
              <w:rPr>
                <w:rFonts w:ascii="Arial" w:hAnsi="Arial"/>
              </w:rPr>
              <w:t>Canadian Aboriginal Peoples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B0748">
            <w:pPr>
              <w:rPr>
                <w:rFonts w:ascii="Arial" w:hAnsi="Arial"/>
              </w:rPr>
            </w:pPr>
            <w:r>
              <w:rPr>
                <w:rFonts w:ascii="Arial" w:hAnsi="Arial"/>
              </w:rPr>
              <w:t>NSW</w:t>
            </w:r>
            <w:r>
              <w:rPr>
                <w:rFonts w:ascii="Arial" w:hAnsi="Arial"/>
              </w:rPr>
              <w:t>110</w:t>
            </w:r>
          </w:p>
          <w:p w:rsidR="006B0748" w:rsidRPr="00F1598C" w:rsidRDefault="006B0748">
            <w:pPr>
              <w:rPr>
                <w:rFonts w:ascii="Arial" w:hAnsi="Arial"/>
              </w:rPr>
            </w:pPr>
            <w:r>
              <w:rPr>
                <w:rFonts w:ascii="Arial" w:hAnsi="Arial"/>
              </w:rPr>
              <w:t>NSW0</w:t>
            </w:r>
            <w:r>
              <w:rPr>
                <w:rFonts w:ascii="Arial" w:hAnsi="Arial"/>
              </w:rPr>
              <w:t>110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B0748">
            <w:pPr>
              <w:rPr>
                <w:rFonts w:ascii="Arial" w:hAnsi="Arial"/>
              </w:rPr>
            </w:pPr>
            <w:r>
              <w:rPr>
                <w:rFonts w:ascii="Arial" w:hAnsi="Arial" w:cs="Arial"/>
              </w:rPr>
              <w:t>Social Services Worker- Native Specialization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B0748">
            <w:pPr>
              <w:rPr>
                <w:rFonts w:ascii="Arial" w:hAnsi="Arial"/>
              </w:rPr>
            </w:pPr>
            <w:r>
              <w:rPr>
                <w:rFonts w:ascii="Arial" w:hAnsi="Arial"/>
              </w:rPr>
              <w:t>Lisa Piotrowski</w:t>
            </w:r>
          </w:p>
          <w:p w:rsidR="00757B48" w:rsidRPr="00F1598C" w:rsidRDefault="006B0748">
            <w:pPr>
              <w:rPr>
                <w:rFonts w:ascii="Arial" w:hAnsi="Arial"/>
              </w:rPr>
            </w:pPr>
            <w:r>
              <w:rPr>
                <w:rFonts w:ascii="Arial" w:hAnsi="Arial"/>
              </w:rPr>
              <w:t>Mary Lewis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B0748">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B0748">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B0748">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793"/>
      </w:tblGrid>
      <w:tr w:rsidR="006B0748" w:rsidTr="006B0748">
        <w:tc>
          <w:tcPr>
            <w:tcW w:w="675" w:type="dxa"/>
            <w:hideMark/>
          </w:tcPr>
          <w:p w:rsidR="006B0748" w:rsidRDefault="006B0748">
            <w:pPr>
              <w:rPr>
                <w:rFonts w:ascii="Arial" w:hAnsi="Arial"/>
                <w:b/>
              </w:rPr>
            </w:pPr>
            <w:r>
              <w:rPr>
                <w:rFonts w:ascii="Arial" w:hAnsi="Arial"/>
                <w:b/>
              </w:rPr>
              <w:lastRenderedPageBreak/>
              <w:t>I.</w:t>
            </w:r>
          </w:p>
        </w:tc>
        <w:tc>
          <w:tcPr>
            <w:tcW w:w="8793" w:type="dxa"/>
          </w:tcPr>
          <w:p w:rsidR="006B0748" w:rsidRDefault="006B0748">
            <w:pPr>
              <w:rPr>
                <w:rFonts w:ascii="Arial" w:hAnsi="Arial"/>
                <w:b/>
              </w:rPr>
            </w:pPr>
            <w:r>
              <w:rPr>
                <w:rFonts w:ascii="Arial" w:hAnsi="Arial"/>
                <w:b/>
              </w:rPr>
              <w:t xml:space="preserve">COURSE DESCRIPTION:  </w:t>
            </w:r>
          </w:p>
          <w:p w:rsidR="006B0748" w:rsidRDefault="006B0748">
            <w:pPr>
              <w:rPr>
                <w:rFonts w:ascii="Arial" w:hAnsi="Arial"/>
                <w:b/>
              </w:rPr>
            </w:pPr>
          </w:p>
          <w:p w:rsidR="006B0748" w:rsidRDefault="006B0748">
            <w:pPr>
              <w:ind w:left="45"/>
              <w:rPr>
                <w:rFonts w:ascii="Arial" w:hAnsi="Arial" w:cs="Arial"/>
              </w:rPr>
            </w:pPr>
            <w:r>
              <w:rPr>
                <w:rFonts w:ascii="Arial" w:hAnsi="Arial" w:cs="Arial"/>
              </w:rPr>
              <w:t xml:space="preserve">This course will provide the CICE student(s) with an in-depth examination of the cultural survival for Canada’s Aboriginal people.  With assistance from a Learning Specialist, the CICE student(s) will identify and discuss </w:t>
            </w:r>
            <w:proofErr w:type="gramStart"/>
            <w:r>
              <w:rPr>
                <w:rFonts w:ascii="Arial" w:hAnsi="Arial" w:cs="Arial"/>
              </w:rPr>
              <w:t>the  Aboriginal</w:t>
            </w:r>
            <w:proofErr w:type="gramEnd"/>
            <w:r>
              <w:rPr>
                <w:rFonts w:ascii="Arial" w:hAnsi="Arial" w:cs="Arial"/>
              </w:rPr>
              <w:t xml:space="preserve"> worldview in both historical and modern perspectives.  An examination of colonization, gov</w:t>
            </w:r>
            <w:bookmarkStart w:id="0" w:name="_GoBack"/>
            <w:bookmarkEnd w:id="0"/>
            <w:r>
              <w:rPr>
                <w:rFonts w:ascii="Arial" w:hAnsi="Arial" w:cs="Arial"/>
              </w:rPr>
              <w:t>ernment policies and legislation will provide a foundation for understanding modern Aboriginal life in Canada.</w:t>
            </w:r>
          </w:p>
        </w:tc>
      </w:tr>
    </w:tbl>
    <w:p w:rsidR="006B0748" w:rsidRDefault="006B0748" w:rsidP="006B0748">
      <w:pPr>
        <w:rPr>
          <w:rFonts w:ascii="Arial" w:hAnsi="Arial"/>
        </w:rPr>
      </w:pPr>
    </w:p>
    <w:tbl>
      <w:tblPr>
        <w:tblW w:w="0" w:type="auto"/>
        <w:tblLayout w:type="fixed"/>
        <w:tblLook w:val="04A0" w:firstRow="1" w:lastRow="0" w:firstColumn="1" w:lastColumn="0" w:noHBand="0" w:noVBand="1"/>
      </w:tblPr>
      <w:tblGrid>
        <w:gridCol w:w="675"/>
        <w:gridCol w:w="567"/>
        <w:gridCol w:w="8226"/>
      </w:tblGrid>
      <w:tr w:rsidR="006B0748" w:rsidTr="006B0748">
        <w:tc>
          <w:tcPr>
            <w:tcW w:w="675" w:type="dxa"/>
            <w:hideMark/>
          </w:tcPr>
          <w:p w:rsidR="006B0748" w:rsidRDefault="006B0748">
            <w:pPr>
              <w:rPr>
                <w:rFonts w:ascii="Arial" w:hAnsi="Arial"/>
                <w:b/>
              </w:rPr>
            </w:pPr>
            <w:r>
              <w:rPr>
                <w:rFonts w:ascii="Arial" w:hAnsi="Arial"/>
                <w:b/>
              </w:rPr>
              <w:t>II.</w:t>
            </w:r>
          </w:p>
        </w:tc>
        <w:tc>
          <w:tcPr>
            <w:tcW w:w="8793" w:type="dxa"/>
            <w:gridSpan w:val="2"/>
          </w:tcPr>
          <w:p w:rsidR="006B0748" w:rsidRDefault="006B0748">
            <w:pPr>
              <w:rPr>
                <w:rFonts w:ascii="Arial" w:hAnsi="Arial"/>
                <w:b/>
              </w:rPr>
            </w:pPr>
            <w:r>
              <w:rPr>
                <w:rFonts w:ascii="Arial" w:hAnsi="Arial"/>
                <w:b/>
              </w:rPr>
              <w:t>LEARNING OUTCOMES AND ELEMENTS OF THE PERFORMANCE:</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8793" w:type="dxa"/>
            <w:gridSpan w:val="2"/>
          </w:tcPr>
          <w:p w:rsidR="006B0748" w:rsidRDefault="006B0748">
            <w:pPr>
              <w:rPr>
                <w:rFonts w:ascii="Arial" w:hAnsi="Arial" w:cs="Arial"/>
                <w:color w:val="000000"/>
              </w:rPr>
            </w:pPr>
            <w:r>
              <w:rPr>
                <w:rFonts w:ascii="Arial" w:hAnsi="Arial" w:cs="Arial"/>
                <w:color w:val="000000"/>
              </w:rPr>
              <w:t>Upon successful completion of this course, the CICE student, with the assistance of a Learning Specialist, will demonstrate the basic ability to:</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1.</w:t>
            </w:r>
          </w:p>
        </w:tc>
        <w:tc>
          <w:tcPr>
            <w:tcW w:w="8226" w:type="dxa"/>
          </w:tcPr>
          <w:p w:rsidR="006B0748" w:rsidRDefault="006B0748">
            <w:pPr>
              <w:rPr>
                <w:rFonts w:ascii="Arial" w:hAnsi="Arial" w:cs="Arial"/>
                <w:szCs w:val="24"/>
              </w:rPr>
            </w:pPr>
            <w:r>
              <w:rPr>
                <w:rFonts w:ascii="Arial" w:hAnsi="Arial" w:cs="Arial"/>
                <w:szCs w:val="24"/>
              </w:rPr>
              <w:t>Identify and educate on the concept of Aboriginal worldview and philosophy.</w:t>
            </w:r>
          </w:p>
          <w:p w:rsidR="006B0748" w:rsidRDefault="006B0748">
            <w:pPr>
              <w:rPr>
                <w:rFonts w:ascii="Arial" w:hAnsi="Arial" w:cs="Arial"/>
                <w:szCs w:val="24"/>
              </w:rPr>
            </w:pPr>
          </w:p>
        </w:tc>
      </w:tr>
      <w:tr w:rsidR="006B0748" w:rsidTr="006B0748">
        <w:tc>
          <w:tcPr>
            <w:tcW w:w="675" w:type="dxa"/>
          </w:tcPr>
          <w:p w:rsidR="006B0748" w:rsidRDefault="006B0748">
            <w:pPr>
              <w:rPr>
                <w:rFonts w:ascii="Arial" w:hAnsi="Arial"/>
              </w:rPr>
            </w:pPr>
          </w:p>
        </w:tc>
        <w:tc>
          <w:tcPr>
            <w:tcW w:w="567" w:type="dxa"/>
          </w:tcPr>
          <w:p w:rsidR="006B0748" w:rsidRDefault="006B0748">
            <w:pPr>
              <w:rPr>
                <w:rFonts w:ascii="Arial" w:hAnsi="Arial"/>
              </w:rPr>
            </w:pPr>
          </w:p>
        </w:tc>
        <w:tc>
          <w:tcPr>
            <w:tcW w:w="8226" w:type="dxa"/>
          </w:tcPr>
          <w:p w:rsidR="006B0748" w:rsidRDefault="006B0748">
            <w:pPr>
              <w:rPr>
                <w:rFonts w:ascii="Arial" w:hAnsi="Arial"/>
                <w:u w:val="single"/>
              </w:rPr>
            </w:pPr>
            <w:r>
              <w:rPr>
                <w:rFonts w:ascii="Arial" w:hAnsi="Arial"/>
                <w:u w:val="single"/>
              </w:rPr>
              <w:t>Potential Elements of the Performance:</w:t>
            </w:r>
          </w:p>
          <w:p w:rsidR="006B0748" w:rsidRDefault="006B0748" w:rsidP="006B0748">
            <w:pPr>
              <w:numPr>
                <w:ilvl w:val="0"/>
                <w:numId w:val="23"/>
              </w:numPr>
              <w:rPr>
                <w:rFonts w:ascii="Arial" w:hAnsi="Arial" w:cs="Arial"/>
                <w:szCs w:val="24"/>
              </w:rPr>
            </w:pPr>
            <w:r>
              <w:rPr>
                <w:rFonts w:ascii="Arial" w:hAnsi="Arial" w:cs="Arial"/>
                <w:szCs w:val="24"/>
              </w:rPr>
              <w:t>Utilize a working terminology.</w:t>
            </w:r>
          </w:p>
          <w:p w:rsidR="006B0748" w:rsidRDefault="006B0748" w:rsidP="006B0748">
            <w:pPr>
              <w:numPr>
                <w:ilvl w:val="0"/>
                <w:numId w:val="23"/>
              </w:numPr>
              <w:rPr>
                <w:rFonts w:ascii="Arial" w:hAnsi="Arial" w:cs="Arial"/>
                <w:szCs w:val="24"/>
              </w:rPr>
            </w:pPr>
            <w:r>
              <w:rPr>
                <w:rFonts w:ascii="Arial" w:hAnsi="Arial" w:cs="Arial"/>
                <w:szCs w:val="24"/>
              </w:rPr>
              <w:t>Distinguish between culture and worldview.</w:t>
            </w:r>
          </w:p>
          <w:p w:rsidR="006B0748" w:rsidRDefault="006B0748" w:rsidP="006B0748">
            <w:pPr>
              <w:numPr>
                <w:ilvl w:val="0"/>
                <w:numId w:val="23"/>
              </w:numPr>
              <w:rPr>
                <w:rFonts w:ascii="Arial" w:hAnsi="Arial" w:cs="Arial"/>
                <w:szCs w:val="24"/>
              </w:rPr>
            </w:pPr>
            <w:r>
              <w:rPr>
                <w:rFonts w:ascii="Arial" w:hAnsi="Arial" w:cs="Arial"/>
                <w:szCs w:val="24"/>
              </w:rPr>
              <w:t xml:space="preserve">Learn basics of in North American Aboriginal worldview </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2.</w:t>
            </w:r>
          </w:p>
        </w:tc>
        <w:tc>
          <w:tcPr>
            <w:tcW w:w="8226" w:type="dxa"/>
            <w:hideMark/>
          </w:tcPr>
          <w:p w:rsidR="006B0748" w:rsidRDefault="006B0748">
            <w:pPr>
              <w:rPr>
                <w:rFonts w:ascii="Arial" w:hAnsi="Arial" w:cs="Arial"/>
                <w:szCs w:val="24"/>
              </w:rPr>
            </w:pPr>
            <w:r>
              <w:rPr>
                <w:rFonts w:ascii="Arial" w:hAnsi="Arial" w:cs="Arial"/>
                <w:szCs w:val="24"/>
              </w:rPr>
              <w:t>Demonstrate an understanding of the effects of colonization of Aboriginal Canadians.</w:t>
            </w:r>
          </w:p>
          <w:p w:rsidR="006B0748" w:rsidRDefault="006B0748">
            <w:pPr>
              <w:tabs>
                <w:tab w:val="left" w:pos="3348"/>
              </w:tabs>
              <w:rPr>
                <w:rFonts w:ascii="Arial" w:hAnsi="Arial"/>
              </w:rPr>
            </w:pPr>
            <w:r>
              <w:rPr>
                <w:rFonts w:ascii="Arial" w:hAnsi="Arial"/>
              </w:rPr>
              <w:tab/>
            </w:r>
          </w:p>
        </w:tc>
      </w:tr>
      <w:tr w:rsidR="006B0748" w:rsidTr="006B0748">
        <w:tc>
          <w:tcPr>
            <w:tcW w:w="675" w:type="dxa"/>
          </w:tcPr>
          <w:p w:rsidR="006B0748" w:rsidRDefault="006B0748">
            <w:pPr>
              <w:rPr>
                <w:rFonts w:ascii="Arial" w:hAnsi="Arial"/>
              </w:rPr>
            </w:pPr>
          </w:p>
        </w:tc>
        <w:tc>
          <w:tcPr>
            <w:tcW w:w="567" w:type="dxa"/>
          </w:tcPr>
          <w:p w:rsidR="006B0748" w:rsidRDefault="006B0748">
            <w:pPr>
              <w:rPr>
                <w:rFonts w:ascii="Arial" w:hAnsi="Arial"/>
              </w:rPr>
            </w:pPr>
          </w:p>
        </w:tc>
        <w:tc>
          <w:tcPr>
            <w:tcW w:w="8226" w:type="dxa"/>
          </w:tcPr>
          <w:p w:rsidR="006B0748" w:rsidRDefault="006B0748">
            <w:pPr>
              <w:rPr>
                <w:rFonts w:ascii="Arial" w:hAnsi="Arial"/>
              </w:rPr>
            </w:pPr>
            <w:r>
              <w:rPr>
                <w:rFonts w:ascii="Arial" w:hAnsi="Arial"/>
                <w:u w:val="single"/>
              </w:rPr>
              <w:t>Potential Elements of the Performance</w:t>
            </w:r>
            <w:r>
              <w:rPr>
                <w:rFonts w:ascii="Arial" w:hAnsi="Arial"/>
              </w:rPr>
              <w:t>:</w:t>
            </w:r>
          </w:p>
          <w:p w:rsidR="006B0748" w:rsidRDefault="006B0748" w:rsidP="006B0748">
            <w:pPr>
              <w:numPr>
                <w:ilvl w:val="0"/>
                <w:numId w:val="24"/>
              </w:numPr>
              <w:rPr>
                <w:rFonts w:ascii="Arial" w:hAnsi="Arial" w:cs="Arial"/>
                <w:szCs w:val="24"/>
              </w:rPr>
            </w:pPr>
            <w:r>
              <w:rPr>
                <w:rFonts w:ascii="Arial" w:hAnsi="Arial" w:cs="Arial"/>
                <w:szCs w:val="24"/>
              </w:rPr>
              <w:t>Link historical Aboriginal- European relations to current events.</w:t>
            </w:r>
          </w:p>
          <w:p w:rsidR="006B0748" w:rsidRDefault="006B0748" w:rsidP="006B0748">
            <w:pPr>
              <w:numPr>
                <w:ilvl w:val="0"/>
                <w:numId w:val="24"/>
              </w:numPr>
              <w:rPr>
                <w:rFonts w:ascii="Arial" w:hAnsi="Arial" w:cs="Arial"/>
                <w:szCs w:val="24"/>
              </w:rPr>
            </w:pPr>
            <w:r>
              <w:rPr>
                <w:rFonts w:ascii="Arial" w:hAnsi="Arial" w:cs="Arial"/>
                <w:szCs w:val="24"/>
              </w:rPr>
              <w:t>Learn basics of how the political-economy of Canada impacted on Aboriginal cultures in the country.</w:t>
            </w:r>
          </w:p>
          <w:p w:rsidR="006B0748" w:rsidRDefault="006B0748" w:rsidP="006B0748">
            <w:pPr>
              <w:numPr>
                <w:ilvl w:val="0"/>
                <w:numId w:val="24"/>
              </w:numPr>
              <w:rPr>
                <w:rFonts w:ascii="Arial" w:hAnsi="Arial" w:cs="Arial"/>
                <w:szCs w:val="24"/>
              </w:rPr>
            </w:pPr>
            <w:r>
              <w:rPr>
                <w:rFonts w:ascii="Arial" w:hAnsi="Arial" w:cs="Arial"/>
                <w:szCs w:val="24"/>
              </w:rPr>
              <w:t>Apply core pieces of the colonization process to the Aboriginal experience in Canada.</w:t>
            </w:r>
          </w:p>
          <w:p w:rsidR="006B0748" w:rsidRDefault="006B0748" w:rsidP="006B0748">
            <w:pPr>
              <w:numPr>
                <w:ilvl w:val="0"/>
                <w:numId w:val="24"/>
              </w:numPr>
              <w:rPr>
                <w:rFonts w:ascii="Arial" w:hAnsi="Arial" w:cs="Arial"/>
                <w:szCs w:val="24"/>
              </w:rPr>
            </w:pPr>
            <w:r>
              <w:rPr>
                <w:rFonts w:ascii="Arial" w:hAnsi="Arial" w:cs="Arial"/>
                <w:szCs w:val="24"/>
              </w:rPr>
              <w:t>Identify the effects of the acculturation process on Aboriginal identity, leadership, economic development and social structure.</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3.</w:t>
            </w:r>
          </w:p>
        </w:tc>
        <w:tc>
          <w:tcPr>
            <w:tcW w:w="8226" w:type="dxa"/>
          </w:tcPr>
          <w:p w:rsidR="006B0748" w:rsidRDefault="006B0748">
            <w:pPr>
              <w:rPr>
                <w:rFonts w:ascii="Arial" w:hAnsi="Arial" w:cs="Arial"/>
                <w:szCs w:val="24"/>
              </w:rPr>
            </w:pPr>
            <w:r>
              <w:rPr>
                <w:rFonts w:ascii="Arial" w:hAnsi="Arial" w:cs="Arial"/>
                <w:szCs w:val="24"/>
              </w:rPr>
              <w:t>Interpret the concept of Aboriginal identity – individual and collective – and the crisis of identity for Aboriginal individuals and communities.</w:t>
            </w:r>
          </w:p>
          <w:p w:rsidR="006B0748" w:rsidRDefault="006B0748">
            <w:pPr>
              <w:rPr>
                <w:rFonts w:ascii="Arial" w:hAnsi="Arial" w:cs="Arial"/>
                <w:szCs w:val="24"/>
              </w:rPr>
            </w:pPr>
          </w:p>
        </w:tc>
      </w:tr>
      <w:tr w:rsidR="006B0748" w:rsidTr="006B0748">
        <w:tc>
          <w:tcPr>
            <w:tcW w:w="675" w:type="dxa"/>
          </w:tcPr>
          <w:p w:rsidR="006B0748" w:rsidRDefault="006B0748">
            <w:pPr>
              <w:rPr>
                <w:rFonts w:ascii="Arial" w:hAnsi="Arial"/>
              </w:rPr>
            </w:pPr>
          </w:p>
        </w:tc>
        <w:tc>
          <w:tcPr>
            <w:tcW w:w="567" w:type="dxa"/>
          </w:tcPr>
          <w:p w:rsidR="006B0748" w:rsidRDefault="006B0748">
            <w:pPr>
              <w:rPr>
                <w:rFonts w:ascii="Arial" w:hAnsi="Arial"/>
              </w:rPr>
            </w:pPr>
          </w:p>
        </w:tc>
        <w:tc>
          <w:tcPr>
            <w:tcW w:w="8226" w:type="dxa"/>
          </w:tcPr>
          <w:p w:rsidR="006B0748" w:rsidRDefault="006B0748">
            <w:pPr>
              <w:rPr>
                <w:rFonts w:ascii="Arial" w:hAnsi="Arial"/>
              </w:rPr>
            </w:pPr>
            <w:r>
              <w:rPr>
                <w:rFonts w:ascii="Arial" w:hAnsi="Arial"/>
                <w:u w:val="single"/>
              </w:rPr>
              <w:t>Potential Elements of the Performance</w:t>
            </w:r>
            <w:r>
              <w:rPr>
                <w:rFonts w:ascii="Arial" w:hAnsi="Arial"/>
              </w:rPr>
              <w:t>:</w:t>
            </w:r>
          </w:p>
          <w:p w:rsidR="006B0748" w:rsidRDefault="006B0748" w:rsidP="006B0748">
            <w:pPr>
              <w:numPr>
                <w:ilvl w:val="0"/>
                <w:numId w:val="25"/>
              </w:numPr>
              <w:rPr>
                <w:rFonts w:ascii="Arial" w:hAnsi="Arial" w:cs="Arial"/>
                <w:szCs w:val="24"/>
              </w:rPr>
            </w:pPr>
            <w:r>
              <w:rPr>
                <w:rFonts w:ascii="Arial" w:hAnsi="Arial" w:cs="Arial"/>
                <w:szCs w:val="24"/>
              </w:rPr>
              <w:t>Identify and explain the terms used to describe various indigenous groups in Canada.</w:t>
            </w:r>
          </w:p>
          <w:p w:rsidR="006B0748" w:rsidRDefault="006B0748" w:rsidP="006B0748">
            <w:pPr>
              <w:numPr>
                <w:ilvl w:val="0"/>
                <w:numId w:val="25"/>
              </w:numPr>
              <w:rPr>
                <w:rFonts w:ascii="Arial" w:hAnsi="Arial" w:cs="Arial"/>
                <w:szCs w:val="24"/>
              </w:rPr>
            </w:pPr>
            <w:r>
              <w:rPr>
                <w:rFonts w:ascii="Arial" w:hAnsi="Arial" w:cs="Arial"/>
                <w:szCs w:val="24"/>
              </w:rPr>
              <w:t xml:space="preserve">Have </w:t>
            </w:r>
            <w:proofErr w:type="gramStart"/>
            <w:r>
              <w:rPr>
                <w:rFonts w:ascii="Arial" w:hAnsi="Arial" w:cs="Arial"/>
                <w:szCs w:val="24"/>
              </w:rPr>
              <w:t>a knowledge</w:t>
            </w:r>
            <w:proofErr w:type="gramEnd"/>
            <w:r>
              <w:rPr>
                <w:rFonts w:ascii="Arial" w:hAnsi="Arial" w:cs="Arial"/>
                <w:szCs w:val="24"/>
              </w:rPr>
              <w:t xml:space="preserve"> of the role of the Indian Act in the Aboriginal identity crisis.</w:t>
            </w:r>
          </w:p>
          <w:p w:rsidR="006B0748" w:rsidRDefault="006B0748" w:rsidP="006B0748">
            <w:pPr>
              <w:numPr>
                <w:ilvl w:val="0"/>
                <w:numId w:val="25"/>
              </w:numPr>
              <w:rPr>
                <w:rFonts w:ascii="Arial" w:hAnsi="Arial" w:cs="Arial"/>
                <w:szCs w:val="24"/>
              </w:rPr>
            </w:pPr>
            <w:r>
              <w:rPr>
                <w:rFonts w:ascii="Arial" w:hAnsi="Arial" w:cs="Arial"/>
                <w:szCs w:val="24"/>
              </w:rPr>
              <w:t xml:space="preserve">Know some of </w:t>
            </w:r>
            <w:proofErr w:type="gramStart"/>
            <w:r>
              <w:rPr>
                <w:rFonts w:ascii="Arial" w:hAnsi="Arial" w:cs="Arial"/>
                <w:szCs w:val="24"/>
              </w:rPr>
              <w:t>the  issues</w:t>
            </w:r>
            <w:proofErr w:type="gramEnd"/>
            <w:r>
              <w:rPr>
                <w:rFonts w:ascii="Arial" w:hAnsi="Arial" w:cs="Arial"/>
                <w:szCs w:val="24"/>
              </w:rPr>
              <w:t xml:space="preserve"> related to Bill C-31, Métis, Inuit, and non-status Indians.</w:t>
            </w:r>
          </w:p>
          <w:p w:rsidR="006B0748" w:rsidRDefault="006B0748">
            <w:pPr>
              <w:rPr>
                <w:rFonts w:ascii="Arial" w:hAnsi="Arial" w:cs="Arial"/>
                <w:szCs w:val="24"/>
              </w:rPr>
            </w:pP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4.</w:t>
            </w:r>
          </w:p>
        </w:tc>
        <w:tc>
          <w:tcPr>
            <w:tcW w:w="8226" w:type="dxa"/>
          </w:tcPr>
          <w:p w:rsidR="006B0748" w:rsidRDefault="006B0748">
            <w:pPr>
              <w:rPr>
                <w:rFonts w:ascii="Arial" w:hAnsi="Arial" w:cs="Arial"/>
                <w:szCs w:val="24"/>
              </w:rPr>
            </w:pPr>
            <w:r>
              <w:rPr>
                <w:rFonts w:ascii="Arial" w:hAnsi="Arial" w:cs="Arial"/>
                <w:szCs w:val="24"/>
              </w:rPr>
              <w:t>Examine issues relating to Aboriginal population, health, social and economic status using critical thinking.</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tcPr>
          <w:p w:rsidR="006B0748" w:rsidRDefault="006B0748">
            <w:pPr>
              <w:rPr>
                <w:rFonts w:ascii="Arial" w:hAnsi="Arial"/>
              </w:rPr>
            </w:pPr>
          </w:p>
        </w:tc>
        <w:tc>
          <w:tcPr>
            <w:tcW w:w="8226" w:type="dxa"/>
          </w:tcPr>
          <w:p w:rsidR="006B0748" w:rsidRDefault="006B0748">
            <w:pPr>
              <w:rPr>
                <w:rFonts w:ascii="Arial" w:hAnsi="Arial"/>
              </w:rPr>
            </w:pPr>
            <w:r>
              <w:rPr>
                <w:rFonts w:ascii="Arial" w:hAnsi="Arial"/>
                <w:u w:val="single"/>
              </w:rPr>
              <w:t>Potential Elements of the Performance</w:t>
            </w:r>
            <w:r>
              <w:rPr>
                <w:rFonts w:ascii="Arial" w:hAnsi="Arial"/>
              </w:rPr>
              <w:t>:</w:t>
            </w:r>
          </w:p>
          <w:p w:rsidR="006B0748" w:rsidRDefault="006B0748" w:rsidP="006B0748">
            <w:pPr>
              <w:numPr>
                <w:ilvl w:val="0"/>
                <w:numId w:val="26"/>
              </w:numPr>
              <w:rPr>
                <w:rFonts w:ascii="Arial" w:hAnsi="Arial" w:cs="Arial"/>
                <w:szCs w:val="24"/>
              </w:rPr>
            </w:pPr>
            <w:r>
              <w:rPr>
                <w:rFonts w:ascii="Arial" w:hAnsi="Arial" w:cs="Arial"/>
                <w:szCs w:val="24"/>
              </w:rPr>
              <w:t>Know the basic role of national surveys and census in determining programming, policy and funding.</w:t>
            </w:r>
          </w:p>
          <w:p w:rsidR="006B0748" w:rsidRDefault="006B0748" w:rsidP="006B0748">
            <w:pPr>
              <w:numPr>
                <w:ilvl w:val="0"/>
                <w:numId w:val="26"/>
              </w:numPr>
              <w:rPr>
                <w:rFonts w:ascii="Arial" w:hAnsi="Arial" w:cs="Arial"/>
                <w:szCs w:val="24"/>
              </w:rPr>
            </w:pPr>
            <w:r>
              <w:rPr>
                <w:rFonts w:ascii="Arial" w:hAnsi="Arial" w:cs="Arial"/>
                <w:szCs w:val="24"/>
              </w:rPr>
              <w:t>Have a basic understanding of the different kinds of reserves.</w:t>
            </w:r>
          </w:p>
          <w:p w:rsidR="006B0748" w:rsidRDefault="006B0748" w:rsidP="006B0748">
            <w:pPr>
              <w:numPr>
                <w:ilvl w:val="0"/>
                <w:numId w:val="26"/>
              </w:numPr>
              <w:rPr>
                <w:rFonts w:ascii="Arial" w:hAnsi="Arial" w:cs="Arial"/>
                <w:szCs w:val="24"/>
              </w:rPr>
            </w:pPr>
            <w:r>
              <w:rPr>
                <w:rFonts w:ascii="Arial" w:hAnsi="Arial" w:cs="Arial"/>
                <w:szCs w:val="24"/>
              </w:rPr>
              <w:t xml:space="preserve">Connect Aboriginal health issues to environmental conditions. </w:t>
            </w:r>
          </w:p>
          <w:p w:rsidR="006B0748" w:rsidRDefault="006B0748" w:rsidP="006B0748">
            <w:pPr>
              <w:numPr>
                <w:ilvl w:val="0"/>
                <w:numId w:val="26"/>
              </w:numPr>
              <w:rPr>
                <w:rFonts w:ascii="Arial" w:hAnsi="Arial" w:cs="Arial"/>
                <w:szCs w:val="24"/>
              </w:rPr>
            </w:pPr>
            <w:r>
              <w:rPr>
                <w:rFonts w:ascii="Arial" w:hAnsi="Arial" w:cs="Arial"/>
                <w:szCs w:val="24"/>
              </w:rPr>
              <w:t>Interpret basic connections between statistics, service programming and community life.</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5.</w:t>
            </w:r>
          </w:p>
        </w:tc>
        <w:tc>
          <w:tcPr>
            <w:tcW w:w="8226" w:type="dxa"/>
          </w:tcPr>
          <w:p w:rsidR="006B0748" w:rsidRDefault="006B0748">
            <w:pPr>
              <w:pStyle w:val="BodyText"/>
              <w:rPr>
                <w:rFonts w:ascii="Arial" w:hAnsi="Arial" w:cs="Arial"/>
                <w:szCs w:val="24"/>
              </w:rPr>
            </w:pPr>
            <w:r>
              <w:rPr>
                <w:rFonts w:ascii="Arial" w:hAnsi="Arial" w:cs="Arial"/>
                <w:szCs w:val="24"/>
              </w:rPr>
              <w:t>Have a basic knowledge of initiatives and strategies devised and implemented by Aboriginals to address their social, political, economic and spiritual needs on First Nations and in the urban Native experience.</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tcPr>
          <w:p w:rsidR="006B0748" w:rsidRDefault="006B0748">
            <w:pPr>
              <w:rPr>
                <w:rFonts w:ascii="Arial" w:hAnsi="Arial"/>
              </w:rPr>
            </w:pPr>
          </w:p>
        </w:tc>
        <w:tc>
          <w:tcPr>
            <w:tcW w:w="8226" w:type="dxa"/>
          </w:tcPr>
          <w:p w:rsidR="006B0748" w:rsidRDefault="006B0748">
            <w:pPr>
              <w:rPr>
                <w:rFonts w:ascii="Arial" w:hAnsi="Arial"/>
              </w:rPr>
            </w:pPr>
            <w:r>
              <w:rPr>
                <w:rFonts w:ascii="Arial" w:hAnsi="Arial"/>
                <w:u w:val="single"/>
              </w:rPr>
              <w:t>Potential Elements of the Performance</w:t>
            </w:r>
            <w:r>
              <w:rPr>
                <w:rFonts w:ascii="Arial" w:hAnsi="Arial"/>
              </w:rPr>
              <w:t>:</w:t>
            </w:r>
          </w:p>
          <w:p w:rsidR="006B0748" w:rsidRDefault="006B0748" w:rsidP="006B0748">
            <w:pPr>
              <w:numPr>
                <w:ilvl w:val="0"/>
                <w:numId w:val="27"/>
              </w:numPr>
              <w:rPr>
                <w:rFonts w:ascii="Arial" w:hAnsi="Arial" w:cs="Arial"/>
                <w:szCs w:val="24"/>
              </w:rPr>
            </w:pPr>
            <w:r>
              <w:rPr>
                <w:rFonts w:ascii="Arial" w:hAnsi="Arial" w:cs="Arial"/>
                <w:szCs w:val="24"/>
              </w:rPr>
              <w:t>Outline the migration history of on-reserve and urban First Nations people in Canada.</w:t>
            </w:r>
          </w:p>
          <w:p w:rsidR="006B0748" w:rsidRDefault="006B0748" w:rsidP="006B0748">
            <w:pPr>
              <w:numPr>
                <w:ilvl w:val="0"/>
                <w:numId w:val="27"/>
              </w:numPr>
              <w:rPr>
                <w:rFonts w:ascii="Arial" w:hAnsi="Arial" w:cs="Arial"/>
                <w:szCs w:val="24"/>
              </w:rPr>
            </w:pPr>
            <w:r>
              <w:rPr>
                <w:rFonts w:ascii="Arial" w:hAnsi="Arial" w:cs="Arial"/>
                <w:szCs w:val="24"/>
              </w:rPr>
              <w:t>Connect off reserve migration with characteristics of reserves, including structural, social and cultural conditions.</w:t>
            </w:r>
          </w:p>
          <w:p w:rsidR="006B0748" w:rsidRDefault="006B0748" w:rsidP="006B0748">
            <w:pPr>
              <w:numPr>
                <w:ilvl w:val="0"/>
                <w:numId w:val="27"/>
              </w:numPr>
              <w:rPr>
                <w:rFonts w:ascii="Arial" w:hAnsi="Arial" w:cs="Arial"/>
                <w:szCs w:val="24"/>
              </w:rPr>
            </w:pPr>
            <w:r>
              <w:rPr>
                <w:rFonts w:ascii="Arial" w:hAnsi="Arial" w:cs="Arial"/>
                <w:szCs w:val="24"/>
              </w:rPr>
              <w:t>Distinguish between stages of urbanization for Aboriginal peoples.</w:t>
            </w:r>
          </w:p>
          <w:p w:rsidR="006B0748" w:rsidRDefault="006B0748" w:rsidP="006B0748">
            <w:pPr>
              <w:numPr>
                <w:ilvl w:val="0"/>
                <w:numId w:val="27"/>
              </w:numPr>
              <w:rPr>
                <w:rFonts w:ascii="Arial" w:hAnsi="Arial" w:cs="Arial"/>
                <w:szCs w:val="24"/>
              </w:rPr>
            </w:pPr>
            <w:r>
              <w:rPr>
                <w:rFonts w:ascii="Arial" w:hAnsi="Arial" w:cs="Arial"/>
                <w:szCs w:val="24"/>
              </w:rPr>
              <w:t>Be aware of conflicts in First nation people moving into cities and know what “citizens plus” means in relation to the Aboriginal people</w:t>
            </w:r>
          </w:p>
          <w:p w:rsidR="006B0748" w:rsidRDefault="006B0748" w:rsidP="006B0748">
            <w:pPr>
              <w:numPr>
                <w:ilvl w:val="0"/>
                <w:numId w:val="27"/>
              </w:numPr>
              <w:rPr>
                <w:rFonts w:ascii="Arial" w:hAnsi="Arial" w:cs="Arial"/>
                <w:szCs w:val="24"/>
              </w:rPr>
            </w:pPr>
            <w:r>
              <w:rPr>
                <w:rFonts w:ascii="Arial" w:hAnsi="Arial" w:cs="Arial"/>
                <w:szCs w:val="24"/>
              </w:rPr>
              <w:t>Know about continuing assimilation attempts.</w:t>
            </w:r>
          </w:p>
          <w:p w:rsidR="006B0748" w:rsidRDefault="006B0748" w:rsidP="006B0748">
            <w:pPr>
              <w:numPr>
                <w:ilvl w:val="0"/>
                <w:numId w:val="27"/>
              </w:numPr>
              <w:rPr>
                <w:rFonts w:ascii="Arial" w:hAnsi="Arial" w:cs="Arial"/>
                <w:szCs w:val="24"/>
              </w:rPr>
            </w:pPr>
            <w:r>
              <w:rPr>
                <w:rFonts w:ascii="Arial" w:hAnsi="Arial" w:cs="Arial"/>
                <w:szCs w:val="24"/>
              </w:rPr>
              <w:t>Classify the four main categories of service organizations utilized by urban Aboriginals.</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6.</w:t>
            </w:r>
          </w:p>
        </w:tc>
        <w:tc>
          <w:tcPr>
            <w:tcW w:w="8226" w:type="dxa"/>
          </w:tcPr>
          <w:p w:rsidR="006B0748" w:rsidRDefault="006B0748">
            <w:pPr>
              <w:pStyle w:val="BodyText"/>
              <w:rPr>
                <w:rFonts w:ascii="Arial" w:hAnsi="Arial" w:cs="Arial"/>
                <w:bCs/>
                <w:szCs w:val="24"/>
              </w:rPr>
            </w:pPr>
            <w:r>
              <w:rPr>
                <w:rFonts w:ascii="Arial" w:hAnsi="Arial" w:cs="Arial"/>
                <w:bCs/>
                <w:szCs w:val="24"/>
              </w:rPr>
              <w:t>Distinguish the role of Treaties and Métis Scrip, government policies and actions in the current attitudes toward self-government and self-determination</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tcPr>
          <w:p w:rsidR="006B0748" w:rsidRDefault="006B0748">
            <w:pPr>
              <w:rPr>
                <w:rFonts w:ascii="Arial" w:hAnsi="Arial"/>
              </w:rPr>
            </w:pPr>
          </w:p>
        </w:tc>
        <w:tc>
          <w:tcPr>
            <w:tcW w:w="8226" w:type="dxa"/>
          </w:tcPr>
          <w:p w:rsidR="006B0748" w:rsidRDefault="006B0748">
            <w:pPr>
              <w:rPr>
                <w:rFonts w:ascii="Arial" w:hAnsi="Arial"/>
              </w:rPr>
            </w:pPr>
            <w:r>
              <w:rPr>
                <w:rFonts w:ascii="Arial" w:hAnsi="Arial"/>
                <w:u w:val="single"/>
              </w:rPr>
              <w:t>Potential Elements of the Performance</w:t>
            </w:r>
            <w:r>
              <w:rPr>
                <w:rFonts w:ascii="Arial" w:hAnsi="Arial"/>
              </w:rPr>
              <w:t>:</w:t>
            </w:r>
          </w:p>
          <w:p w:rsidR="006B0748" w:rsidRDefault="006B0748" w:rsidP="006B0748">
            <w:pPr>
              <w:pStyle w:val="EnvelopeReturn"/>
              <w:numPr>
                <w:ilvl w:val="0"/>
                <w:numId w:val="28"/>
              </w:numPr>
              <w:rPr>
                <w:rFonts w:cs="Arial"/>
                <w:szCs w:val="24"/>
              </w:rPr>
            </w:pPr>
            <w:r>
              <w:rPr>
                <w:rFonts w:cs="Arial"/>
                <w:szCs w:val="24"/>
              </w:rPr>
              <w:t>Have a basic knowledge of the historical roots of the treaties in the Aboriginal/Federal government relationship.</w:t>
            </w:r>
          </w:p>
          <w:p w:rsidR="006B0748" w:rsidRDefault="006B0748" w:rsidP="006B0748">
            <w:pPr>
              <w:pStyle w:val="EnvelopeReturn"/>
              <w:numPr>
                <w:ilvl w:val="0"/>
                <w:numId w:val="28"/>
              </w:numPr>
              <w:rPr>
                <w:rFonts w:cs="Arial"/>
                <w:szCs w:val="24"/>
              </w:rPr>
            </w:pPr>
            <w:r>
              <w:rPr>
                <w:rFonts w:cs="Arial"/>
                <w:szCs w:val="24"/>
              </w:rPr>
              <w:t>Connect the circumstances relating to Métis Scrip to their legal status as an Aboriginal group in Canada.</w:t>
            </w:r>
          </w:p>
          <w:p w:rsidR="006B0748" w:rsidRDefault="006B0748" w:rsidP="006B0748">
            <w:pPr>
              <w:pStyle w:val="EnvelopeReturn"/>
              <w:numPr>
                <w:ilvl w:val="0"/>
                <w:numId w:val="28"/>
              </w:numPr>
              <w:rPr>
                <w:rFonts w:cs="Arial"/>
                <w:szCs w:val="24"/>
              </w:rPr>
            </w:pPr>
            <w:r>
              <w:rPr>
                <w:rFonts w:cs="Arial"/>
                <w:szCs w:val="24"/>
              </w:rPr>
              <w:t>Have a basic knowledge of comprehensive claims.</w:t>
            </w:r>
          </w:p>
          <w:p w:rsidR="006B0748" w:rsidRDefault="006B0748" w:rsidP="006B0748">
            <w:pPr>
              <w:pStyle w:val="EnvelopeReturn"/>
              <w:numPr>
                <w:ilvl w:val="0"/>
                <w:numId w:val="28"/>
              </w:numPr>
              <w:rPr>
                <w:rFonts w:cs="Arial"/>
                <w:szCs w:val="24"/>
              </w:rPr>
            </w:pPr>
            <w:r>
              <w:rPr>
                <w:rFonts w:cs="Arial"/>
                <w:szCs w:val="24"/>
              </w:rPr>
              <w:t>Have a basic knowledge of the Link the concepts of ‘citizens plus’, self-government and Aboriginal identity.</w:t>
            </w:r>
          </w:p>
          <w:p w:rsidR="006B0748" w:rsidRDefault="006B0748">
            <w:pPr>
              <w:rPr>
                <w:rFonts w:ascii="Arial" w:hAnsi="Arial"/>
              </w:rPr>
            </w:pPr>
          </w:p>
        </w:tc>
      </w:tr>
    </w:tbl>
    <w:p w:rsidR="006B0748" w:rsidRDefault="006B0748" w:rsidP="006B0748">
      <w:r>
        <w:br w:type="page"/>
      </w:r>
    </w:p>
    <w:tbl>
      <w:tblPr>
        <w:tblW w:w="0" w:type="auto"/>
        <w:tblLayout w:type="fixed"/>
        <w:tblLook w:val="04A0" w:firstRow="1" w:lastRow="0" w:firstColumn="1" w:lastColumn="0" w:noHBand="0" w:noVBand="1"/>
      </w:tblPr>
      <w:tblGrid>
        <w:gridCol w:w="675"/>
        <w:gridCol w:w="567"/>
        <w:gridCol w:w="8226"/>
      </w:tblGrid>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7.</w:t>
            </w:r>
          </w:p>
        </w:tc>
        <w:tc>
          <w:tcPr>
            <w:tcW w:w="8226" w:type="dxa"/>
          </w:tcPr>
          <w:p w:rsidR="006B0748" w:rsidRDefault="006B0748">
            <w:pPr>
              <w:pStyle w:val="EnvelopeReturn"/>
              <w:rPr>
                <w:rFonts w:cs="Arial"/>
                <w:bCs/>
                <w:szCs w:val="24"/>
              </w:rPr>
            </w:pPr>
            <w:r>
              <w:rPr>
                <w:rFonts w:cs="Arial"/>
                <w:bCs/>
                <w:szCs w:val="24"/>
              </w:rPr>
              <w:t>Compare the roles and types of Aboriginal Organizations in Canada today.</w:t>
            </w:r>
          </w:p>
          <w:p w:rsidR="006B0748" w:rsidRDefault="006B0748">
            <w:pPr>
              <w:pStyle w:val="EnvelopeReturn"/>
              <w:rPr>
                <w:rFonts w:cs="Arial"/>
                <w:bCs/>
                <w:szCs w:val="24"/>
              </w:rPr>
            </w:pPr>
          </w:p>
        </w:tc>
      </w:tr>
      <w:tr w:rsidR="006B0748" w:rsidTr="006B0748">
        <w:tc>
          <w:tcPr>
            <w:tcW w:w="675" w:type="dxa"/>
          </w:tcPr>
          <w:p w:rsidR="006B0748" w:rsidRDefault="006B0748">
            <w:pPr>
              <w:rPr>
                <w:rFonts w:ascii="Arial" w:hAnsi="Arial"/>
              </w:rPr>
            </w:pPr>
          </w:p>
        </w:tc>
        <w:tc>
          <w:tcPr>
            <w:tcW w:w="567" w:type="dxa"/>
          </w:tcPr>
          <w:p w:rsidR="006B0748" w:rsidRDefault="006B0748">
            <w:pPr>
              <w:rPr>
                <w:rFonts w:ascii="Arial" w:hAnsi="Arial"/>
              </w:rPr>
            </w:pPr>
          </w:p>
        </w:tc>
        <w:tc>
          <w:tcPr>
            <w:tcW w:w="8226" w:type="dxa"/>
            <w:hideMark/>
          </w:tcPr>
          <w:p w:rsidR="006B0748" w:rsidRDefault="006B0748">
            <w:pPr>
              <w:rPr>
                <w:rFonts w:ascii="Arial" w:hAnsi="Arial"/>
              </w:rPr>
            </w:pPr>
            <w:r>
              <w:rPr>
                <w:rFonts w:ascii="Arial" w:hAnsi="Arial"/>
                <w:u w:val="single"/>
              </w:rPr>
              <w:t>Potential Elements of the Performance</w:t>
            </w:r>
            <w:r>
              <w:rPr>
                <w:rFonts w:ascii="Arial" w:hAnsi="Arial"/>
              </w:rPr>
              <w:t>:</w:t>
            </w:r>
          </w:p>
          <w:p w:rsidR="006B0748" w:rsidRDefault="006B0748" w:rsidP="006B0748">
            <w:pPr>
              <w:pStyle w:val="EnvelopeReturn"/>
              <w:numPr>
                <w:ilvl w:val="0"/>
                <w:numId w:val="29"/>
              </w:numPr>
              <w:rPr>
                <w:rFonts w:cs="Arial"/>
                <w:szCs w:val="24"/>
              </w:rPr>
            </w:pPr>
            <w:r>
              <w:rPr>
                <w:rFonts w:cs="Arial"/>
                <w:szCs w:val="24"/>
              </w:rPr>
              <w:t>Recognize the role of Aboriginal organizations in the development of Canada.</w:t>
            </w:r>
          </w:p>
          <w:p w:rsidR="006B0748" w:rsidRDefault="006B0748" w:rsidP="006B0748">
            <w:pPr>
              <w:pStyle w:val="EnvelopeReturn"/>
              <w:numPr>
                <w:ilvl w:val="0"/>
                <w:numId w:val="29"/>
              </w:numPr>
              <w:rPr>
                <w:rFonts w:cs="Arial"/>
                <w:szCs w:val="24"/>
              </w:rPr>
            </w:pPr>
            <w:r>
              <w:rPr>
                <w:rFonts w:cs="Arial"/>
                <w:szCs w:val="24"/>
              </w:rPr>
              <w:t>Distinguish band, local, and pan-Native organizations to communicate four main types of Aboriginal organizations.</w:t>
            </w:r>
          </w:p>
          <w:p w:rsidR="006B0748" w:rsidRDefault="006B0748" w:rsidP="006B0748">
            <w:pPr>
              <w:pStyle w:val="EnvelopeReturn"/>
              <w:numPr>
                <w:ilvl w:val="0"/>
                <w:numId w:val="29"/>
              </w:numPr>
              <w:rPr>
                <w:rFonts w:cs="Arial"/>
                <w:bCs/>
                <w:szCs w:val="24"/>
              </w:rPr>
            </w:pPr>
            <w:r>
              <w:rPr>
                <w:rFonts w:cs="Arial"/>
                <w:szCs w:val="24"/>
              </w:rPr>
              <w:t>Define and discuss the Assembly of First Nations as an Aboriginal organization.</w:t>
            </w:r>
          </w:p>
        </w:tc>
      </w:tr>
      <w:tr w:rsidR="006B0748" w:rsidTr="006B0748">
        <w:tc>
          <w:tcPr>
            <w:tcW w:w="675" w:type="dxa"/>
          </w:tcPr>
          <w:p w:rsidR="006B0748" w:rsidRDefault="006B0748">
            <w:pPr>
              <w:rPr>
                <w:rFonts w:ascii="Arial" w:hAnsi="Arial"/>
              </w:rPr>
            </w:pPr>
          </w:p>
        </w:tc>
        <w:tc>
          <w:tcPr>
            <w:tcW w:w="567" w:type="dxa"/>
          </w:tcPr>
          <w:p w:rsidR="006B0748" w:rsidRDefault="006B0748">
            <w:pPr>
              <w:rPr>
                <w:rFonts w:ascii="Arial" w:hAnsi="Arial"/>
              </w:rPr>
            </w:pPr>
          </w:p>
        </w:tc>
        <w:tc>
          <w:tcPr>
            <w:tcW w:w="8226" w:type="dxa"/>
          </w:tcPr>
          <w:p w:rsidR="006B0748" w:rsidRDefault="006B0748">
            <w:pPr>
              <w:rPr>
                <w:rFonts w:ascii="Arial" w:hAnsi="Arial"/>
                <w:u w:val="single"/>
              </w:rPr>
            </w:pPr>
          </w:p>
        </w:tc>
      </w:tr>
      <w:tr w:rsidR="006B0748" w:rsidTr="006B0748">
        <w:tc>
          <w:tcPr>
            <w:tcW w:w="675" w:type="dxa"/>
            <w:hideMark/>
          </w:tcPr>
          <w:p w:rsidR="006B0748" w:rsidRDefault="006B0748">
            <w:pPr>
              <w:rPr>
                <w:rFonts w:ascii="Arial" w:hAnsi="Arial"/>
                <w:b/>
              </w:rPr>
            </w:pPr>
            <w:r>
              <w:rPr>
                <w:rFonts w:ascii="Arial" w:hAnsi="Arial"/>
                <w:b/>
              </w:rPr>
              <w:t>III.</w:t>
            </w:r>
          </w:p>
        </w:tc>
        <w:tc>
          <w:tcPr>
            <w:tcW w:w="8793" w:type="dxa"/>
            <w:gridSpan w:val="2"/>
          </w:tcPr>
          <w:p w:rsidR="006B0748" w:rsidRDefault="006B0748">
            <w:pPr>
              <w:rPr>
                <w:rFonts w:ascii="Arial" w:hAnsi="Arial"/>
                <w:b/>
              </w:rPr>
            </w:pPr>
            <w:r>
              <w:rPr>
                <w:rFonts w:ascii="Arial" w:hAnsi="Arial"/>
                <w:b/>
              </w:rPr>
              <w:t>TOPICS:</w:t>
            </w:r>
          </w:p>
          <w:p w:rsidR="006B0748" w:rsidRDefault="006B0748">
            <w:pPr>
              <w:rPr>
                <w:rFonts w:ascii="Arial" w:hAnsi="Arial"/>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1.</w:t>
            </w:r>
          </w:p>
        </w:tc>
        <w:tc>
          <w:tcPr>
            <w:tcW w:w="8226" w:type="dxa"/>
          </w:tcPr>
          <w:p w:rsidR="006B0748" w:rsidRDefault="006B0748">
            <w:pPr>
              <w:rPr>
                <w:rFonts w:ascii="Arial" w:hAnsi="Arial" w:cs="Arial"/>
                <w:szCs w:val="24"/>
              </w:rPr>
            </w:pPr>
            <w:r>
              <w:rPr>
                <w:rFonts w:ascii="Arial" w:hAnsi="Arial" w:cs="Arial"/>
                <w:szCs w:val="24"/>
              </w:rPr>
              <w:t>Introduction to Aboriginal Cultures, Worldview and related Terminology</w:t>
            </w:r>
          </w:p>
          <w:p w:rsidR="006B0748" w:rsidRDefault="006B0748">
            <w:pPr>
              <w:rPr>
                <w:rFonts w:ascii="Arial" w:hAnsi="Arial" w:cs="Arial"/>
                <w:szCs w:val="24"/>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2.</w:t>
            </w:r>
          </w:p>
        </w:tc>
        <w:tc>
          <w:tcPr>
            <w:tcW w:w="8226" w:type="dxa"/>
          </w:tcPr>
          <w:p w:rsidR="006B0748" w:rsidRDefault="006B0748">
            <w:pPr>
              <w:rPr>
                <w:rFonts w:ascii="Arial" w:hAnsi="Arial" w:cs="Arial"/>
                <w:szCs w:val="24"/>
              </w:rPr>
            </w:pPr>
            <w:r>
              <w:rPr>
                <w:rFonts w:ascii="Arial" w:hAnsi="Arial" w:cs="Arial"/>
                <w:szCs w:val="24"/>
              </w:rPr>
              <w:t>Effects of Canadian Colonization</w:t>
            </w:r>
          </w:p>
          <w:p w:rsidR="006B0748" w:rsidRDefault="006B0748">
            <w:pPr>
              <w:rPr>
                <w:rFonts w:ascii="Arial" w:hAnsi="Arial" w:cs="Arial"/>
                <w:szCs w:val="24"/>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3.</w:t>
            </w:r>
          </w:p>
        </w:tc>
        <w:tc>
          <w:tcPr>
            <w:tcW w:w="8226" w:type="dxa"/>
          </w:tcPr>
          <w:p w:rsidR="006B0748" w:rsidRDefault="006B0748">
            <w:pPr>
              <w:rPr>
                <w:rFonts w:ascii="Arial" w:hAnsi="Arial" w:cs="Arial"/>
                <w:szCs w:val="24"/>
              </w:rPr>
            </w:pPr>
            <w:r>
              <w:rPr>
                <w:rFonts w:ascii="Arial" w:hAnsi="Arial" w:cs="Arial"/>
                <w:szCs w:val="24"/>
              </w:rPr>
              <w:t>Aboriginal Identity Crisis</w:t>
            </w:r>
          </w:p>
          <w:p w:rsidR="006B0748" w:rsidRDefault="006B0748">
            <w:pPr>
              <w:rPr>
                <w:rFonts w:ascii="Arial" w:hAnsi="Arial" w:cs="Arial"/>
                <w:szCs w:val="24"/>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4.</w:t>
            </w:r>
          </w:p>
        </w:tc>
        <w:tc>
          <w:tcPr>
            <w:tcW w:w="8226" w:type="dxa"/>
          </w:tcPr>
          <w:p w:rsidR="006B0748" w:rsidRDefault="006B0748">
            <w:pPr>
              <w:rPr>
                <w:rFonts w:ascii="Arial" w:hAnsi="Arial" w:cs="Arial"/>
                <w:szCs w:val="24"/>
              </w:rPr>
            </w:pPr>
            <w:r>
              <w:rPr>
                <w:rFonts w:ascii="Arial" w:hAnsi="Arial" w:cs="Arial"/>
                <w:szCs w:val="24"/>
              </w:rPr>
              <w:t>Social Demographics Profiles of Aboriginal Canada</w:t>
            </w:r>
          </w:p>
          <w:p w:rsidR="006B0748" w:rsidRDefault="006B0748">
            <w:pPr>
              <w:rPr>
                <w:rFonts w:ascii="Arial" w:hAnsi="Arial" w:cs="Arial"/>
                <w:szCs w:val="24"/>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5.</w:t>
            </w:r>
          </w:p>
        </w:tc>
        <w:tc>
          <w:tcPr>
            <w:tcW w:w="8226" w:type="dxa"/>
          </w:tcPr>
          <w:p w:rsidR="006B0748" w:rsidRDefault="006B0748">
            <w:pPr>
              <w:rPr>
                <w:rFonts w:ascii="Arial" w:hAnsi="Arial" w:cs="Arial"/>
                <w:szCs w:val="24"/>
              </w:rPr>
            </w:pPr>
            <w:r>
              <w:rPr>
                <w:rFonts w:ascii="Arial" w:hAnsi="Arial" w:cs="Arial"/>
                <w:szCs w:val="24"/>
              </w:rPr>
              <w:t>Aboriginal Urban Life</w:t>
            </w:r>
          </w:p>
          <w:p w:rsidR="006B0748" w:rsidRDefault="006B0748">
            <w:pPr>
              <w:rPr>
                <w:rFonts w:ascii="Arial" w:hAnsi="Arial" w:cs="Arial"/>
                <w:szCs w:val="24"/>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6.</w:t>
            </w:r>
          </w:p>
        </w:tc>
        <w:tc>
          <w:tcPr>
            <w:tcW w:w="8226" w:type="dxa"/>
          </w:tcPr>
          <w:p w:rsidR="006B0748" w:rsidRDefault="006B0748">
            <w:pPr>
              <w:rPr>
                <w:rFonts w:ascii="Arial" w:hAnsi="Arial" w:cs="Arial"/>
                <w:szCs w:val="24"/>
              </w:rPr>
            </w:pPr>
            <w:r>
              <w:rPr>
                <w:rFonts w:ascii="Arial" w:hAnsi="Arial" w:cs="Arial"/>
                <w:szCs w:val="24"/>
              </w:rPr>
              <w:t>Treaties and Scrip</w:t>
            </w:r>
          </w:p>
          <w:p w:rsidR="006B0748" w:rsidRDefault="006B0748">
            <w:pPr>
              <w:rPr>
                <w:rFonts w:ascii="Arial" w:hAnsi="Arial" w:cs="Arial"/>
                <w:szCs w:val="24"/>
              </w:rPr>
            </w:pPr>
          </w:p>
        </w:tc>
      </w:tr>
      <w:tr w:rsidR="006B0748" w:rsidTr="006B0748">
        <w:tc>
          <w:tcPr>
            <w:tcW w:w="675" w:type="dxa"/>
          </w:tcPr>
          <w:p w:rsidR="006B0748" w:rsidRDefault="006B0748">
            <w:pPr>
              <w:rPr>
                <w:rFonts w:ascii="Arial" w:hAnsi="Arial"/>
              </w:rPr>
            </w:pPr>
          </w:p>
        </w:tc>
        <w:tc>
          <w:tcPr>
            <w:tcW w:w="567" w:type="dxa"/>
            <w:hideMark/>
          </w:tcPr>
          <w:p w:rsidR="006B0748" w:rsidRDefault="006B0748">
            <w:pPr>
              <w:rPr>
                <w:rFonts w:ascii="Arial" w:hAnsi="Arial"/>
              </w:rPr>
            </w:pPr>
            <w:r>
              <w:rPr>
                <w:rFonts w:ascii="Arial" w:hAnsi="Arial"/>
              </w:rPr>
              <w:t>7.</w:t>
            </w:r>
          </w:p>
        </w:tc>
        <w:tc>
          <w:tcPr>
            <w:tcW w:w="8226" w:type="dxa"/>
            <w:hideMark/>
          </w:tcPr>
          <w:p w:rsidR="006B0748" w:rsidRDefault="006B0748">
            <w:pPr>
              <w:rPr>
                <w:rFonts w:ascii="Arial" w:hAnsi="Arial" w:cs="Arial"/>
                <w:szCs w:val="24"/>
              </w:rPr>
            </w:pPr>
            <w:r>
              <w:rPr>
                <w:rFonts w:ascii="Arial" w:hAnsi="Arial" w:cs="Arial"/>
                <w:szCs w:val="24"/>
              </w:rPr>
              <w:t>Aboriginal Organizations in Canada</w:t>
            </w:r>
          </w:p>
        </w:tc>
      </w:tr>
    </w:tbl>
    <w:p w:rsidR="006B0748" w:rsidRDefault="006B0748" w:rsidP="006B0748">
      <w:pPr>
        <w:rPr>
          <w:rFonts w:ascii="Arial" w:hAnsi="Arial"/>
        </w:rPr>
      </w:pPr>
    </w:p>
    <w:tbl>
      <w:tblPr>
        <w:tblW w:w="0" w:type="auto"/>
        <w:tblLayout w:type="fixed"/>
        <w:tblLook w:val="04A0" w:firstRow="1" w:lastRow="0" w:firstColumn="1" w:lastColumn="0" w:noHBand="0" w:noVBand="1"/>
      </w:tblPr>
      <w:tblGrid>
        <w:gridCol w:w="675"/>
        <w:gridCol w:w="8793"/>
      </w:tblGrid>
      <w:tr w:rsidR="006B0748" w:rsidTr="006B0748">
        <w:trPr>
          <w:cantSplit/>
          <w:trHeight w:val="100"/>
        </w:trPr>
        <w:tc>
          <w:tcPr>
            <w:tcW w:w="675" w:type="dxa"/>
            <w:hideMark/>
          </w:tcPr>
          <w:p w:rsidR="006B0748" w:rsidRDefault="006B0748">
            <w:pPr>
              <w:rPr>
                <w:rFonts w:ascii="Arial" w:hAnsi="Arial"/>
                <w:b/>
              </w:rPr>
            </w:pPr>
            <w:r>
              <w:rPr>
                <w:rFonts w:ascii="Arial" w:hAnsi="Arial"/>
                <w:b/>
              </w:rPr>
              <w:t>IV.</w:t>
            </w:r>
          </w:p>
        </w:tc>
        <w:tc>
          <w:tcPr>
            <w:tcW w:w="8793" w:type="dxa"/>
          </w:tcPr>
          <w:p w:rsidR="006B0748" w:rsidRDefault="006B0748">
            <w:pPr>
              <w:rPr>
                <w:rFonts w:ascii="Arial" w:hAnsi="Arial"/>
                <w:b/>
              </w:rPr>
            </w:pPr>
            <w:r>
              <w:rPr>
                <w:rFonts w:ascii="Arial" w:hAnsi="Arial"/>
                <w:b/>
              </w:rPr>
              <w:t>REQUIRED RESOURCES/TEXTS/MATERIALS:</w:t>
            </w:r>
          </w:p>
          <w:p w:rsidR="006B0748" w:rsidRDefault="006B0748">
            <w:pPr>
              <w:rPr>
                <w:rFonts w:ascii="Arial" w:hAnsi="Arial"/>
                <w:b/>
              </w:rPr>
            </w:pPr>
          </w:p>
          <w:p w:rsidR="006B0748" w:rsidRDefault="006B0748">
            <w:pPr>
              <w:rPr>
                <w:rFonts w:ascii="Arial" w:hAnsi="Arial"/>
              </w:rPr>
            </w:pPr>
            <w:r>
              <w:rPr>
                <w:rFonts w:ascii="Arial" w:hAnsi="Arial"/>
                <w:i/>
              </w:rPr>
              <w:t>First Nations in the Twenty-First Century</w:t>
            </w:r>
            <w:r>
              <w:rPr>
                <w:rFonts w:ascii="Arial" w:hAnsi="Arial"/>
              </w:rPr>
              <w:t xml:space="preserve"> by James S. </w:t>
            </w:r>
            <w:proofErr w:type="spellStart"/>
            <w:r>
              <w:rPr>
                <w:rFonts w:ascii="Arial" w:hAnsi="Arial"/>
              </w:rPr>
              <w:t>Frideres</w:t>
            </w:r>
            <w:proofErr w:type="spellEnd"/>
          </w:p>
          <w:p w:rsidR="006B0748" w:rsidRDefault="006B0748">
            <w:pPr>
              <w:rPr>
                <w:rFonts w:ascii="Arial" w:hAnsi="Arial"/>
              </w:rPr>
            </w:pPr>
            <w:r>
              <w:rPr>
                <w:rFonts w:ascii="Arial" w:hAnsi="Arial"/>
              </w:rPr>
              <w:t>Oxford University Press</w:t>
            </w:r>
          </w:p>
        </w:tc>
      </w:tr>
    </w:tbl>
    <w:p w:rsidR="006B0748" w:rsidRDefault="006B0748" w:rsidP="006B0748">
      <w:pPr>
        <w:rPr>
          <w:rFonts w:ascii="Arial" w:hAnsi="Arial"/>
        </w:rPr>
      </w:pPr>
    </w:p>
    <w:tbl>
      <w:tblPr>
        <w:tblW w:w="0" w:type="auto"/>
        <w:tblLayout w:type="fixed"/>
        <w:tblLook w:val="04A0" w:firstRow="1" w:lastRow="0" w:firstColumn="1" w:lastColumn="0" w:noHBand="0" w:noVBand="1"/>
      </w:tblPr>
      <w:tblGrid>
        <w:gridCol w:w="675"/>
        <w:gridCol w:w="4396"/>
        <w:gridCol w:w="4397"/>
      </w:tblGrid>
      <w:tr w:rsidR="006B0748" w:rsidTr="006B0748">
        <w:trPr>
          <w:trHeight w:val="103"/>
        </w:trPr>
        <w:tc>
          <w:tcPr>
            <w:tcW w:w="675" w:type="dxa"/>
            <w:hideMark/>
          </w:tcPr>
          <w:p w:rsidR="006B0748" w:rsidRDefault="006B0748">
            <w:pPr>
              <w:rPr>
                <w:rFonts w:ascii="Arial" w:hAnsi="Arial"/>
                <w:b/>
              </w:rPr>
            </w:pPr>
            <w:r>
              <w:rPr>
                <w:rFonts w:ascii="Arial" w:hAnsi="Arial"/>
                <w:b/>
              </w:rPr>
              <w:t>V.</w:t>
            </w:r>
          </w:p>
        </w:tc>
        <w:tc>
          <w:tcPr>
            <w:tcW w:w="8793" w:type="dxa"/>
            <w:gridSpan w:val="2"/>
          </w:tcPr>
          <w:p w:rsidR="006B0748" w:rsidRDefault="006B0748">
            <w:pPr>
              <w:rPr>
                <w:rFonts w:ascii="Arial" w:hAnsi="Arial"/>
                <w:b/>
              </w:rPr>
            </w:pPr>
            <w:r>
              <w:rPr>
                <w:rFonts w:ascii="Arial" w:hAnsi="Arial"/>
                <w:b/>
              </w:rPr>
              <w:t>EVALUATION PROCESS/GRADING SYSTEM:</w:t>
            </w:r>
          </w:p>
          <w:p w:rsidR="006B0748" w:rsidRDefault="006B0748">
            <w:pPr>
              <w:pStyle w:val="EnvelopeReturn"/>
            </w:pPr>
          </w:p>
        </w:tc>
      </w:tr>
      <w:tr w:rsidR="006B0748" w:rsidTr="006B0748">
        <w:tc>
          <w:tcPr>
            <w:tcW w:w="675" w:type="dxa"/>
          </w:tcPr>
          <w:p w:rsidR="006B0748" w:rsidRDefault="006B0748">
            <w:pPr>
              <w:pStyle w:val="EnvelopeReturn"/>
            </w:pPr>
          </w:p>
        </w:tc>
        <w:tc>
          <w:tcPr>
            <w:tcW w:w="4396" w:type="dxa"/>
            <w:hideMark/>
          </w:tcPr>
          <w:p w:rsidR="006B0748" w:rsidRDefault="006B0748">
            <w:pPr>
              <w:pStyle w:val="EnvelopeReturn"/>
              <w:spacing w:line="360" w:lineRule="auto"/>
              <w:rPr>
                <w:rFonts w:cs="Arial"/>
                <w:szCs w:val="24"/>
              </w:rPr>
            </w:pPr>
            <w:r>
              <w:rPr>
                <w:rFonts w:cs="Arial"/>
                <w:szCs w:val="24"/>
              </w:rPr>
              <w:t xml:space="preserve">Video Report                  </w:t>
            </w:r>
            <w:r>
              <w:rPr>
                <w:rFonts w:cs="Arial"/>
                <w:szCs w:val="24"/>
              </w:rPr>
              <w:tab/>
            </w:r>
          </w:p>
        </w:tc>
        <w:tc>
          <w:tcPr>
            <w:tcW w:w="4397" w:type="dxa"/>
            <w:hideMark/>
          </w:tcPr>
          <w:p w:rsidR="006B0748" w:rsidRDefault="006B0748">
            <w:pPr>
              <w:spacing w:line="360" w:lineRule="auto"/>
              <w:rPr>
                <w:rFonts w:ascii="Arial" w:hAnsi="Arial" w:cs="Arial"/>
              </w:rPr>
            </w:pPr>
            <w:r>
              <w:rPr>
                <w:rFonts w:ascii="Arial" w:hAnsi="Arial" w:cs="Arial"/>
                <w:szCs w:val="24"/>
              </w:rPr>
              <w:t xml:space="preserve">15%                  </w:t>
            </w:r>
          </w:p>
        </w:tc>
      </w:tr>
      <w:tr w:rsidR="006B0748" w:rsidTr="006B0748">
        <w:tc>
          <w:tcPr>
            <w:tcW w:w="675" w:type="dxa"/>
          </w:tcPr>
          <w:p w:rsidR="006B0748" w:rsidRDefault="006B0748">
            <w:pPr>
              <w:pStyle w:val="EnvelopeReturn"/>
            </w:pPr>
          </w:p>
        </w:tc>
        <w:tc>
          <w:tcPr>
            <w:tcW w:w="4396" w:type="dxa"/>
            <w:hideMark/>
          </w:tcPr>
          <w:p w:rsidR="006B0748" w:rsidRDefault="006B0748">
            <w:pPr>
              <w:pStyle w:val="EnvelopeReturn"/>
              <w:spacing w:line="360" w:lineRule="auto"/>
              <w:rPr>
                <w:rFonts w:cs="Arial"/>
                <w:szCs w:val="24"/>
              </w:rPr>
            </w:pPr>
            <w:r>
              <w:rPr>
                <w:rFonts w:cs="Arial"/>
                <w:szCs w:val="24"/>
              </w:rPr>
              <w:t xml:space="preserve">Identity and Worldview Assignment </w:t>
            </w:r>
          </w:p>
        </w:tc>
        <w:tc>
          <w:tcPr>
            <w:tcW w:w="4397" w:type="dxa"/>
            <w:hideMark/>
          </w:tcPr>
          <w:p w:rsidR="006B0748" w:rsidRDefault="006B0748">
            <w:pPr>
              <w:spacing w:line="360" w:lineRule="auto"/>
              <w:rPr>
                <w:rFonts w:ascii="Arial" w:hAnsi="Arial"/>
              </w:rPr>
            </w:pPr>
            <w:r>
              <w:rPr>
                <w:rFonts w:ascii="Arial" w:hAnsi="Arial"/>
              </w:rPr>
              <w:t>10%         (definitions only)</w:t>
            </w:r>
          </w:p>
        </w:tc>
      </w:tr>
      <w:tr w:rsidR="006B0748" w:rsidTr="006B0748">
        <w:tc>
          <w:tcPr>
            <w:tcW w:w="675" w:type="dxa"/>
          </w:tcPr>
          <w:p w:rsidR="006B0748" w:rsidRDefault="006B0748">
            <w:pPr>
              <w:pStyle w:val="EnvelopeReturn"/>
            </w:pPr>
          </w:p>
        </w:tc>
        <w:tc>
          <w:tcPr>
            <w:tcW w:w="4396" w:type="dxa"/>
            <w:hideMark/>
          </w:tcPr>
          <w:p w:rsidR="006B0748" w:rsidRDefault="006B0748">
            <w:pPr>
              <w:pStyle w:val="EnvelopeReturn"/>
              <w:spacing w:line="360" w:lineRule="auto"/>
              <w:rPr>
                <w:rFonts w:cs="Arial"/>
                <w:szCs w:val="24"/>
              </w:rPr>
            </w:pPr>
            <w:r>
              <w:rPr>
                <w:rFonts w:cs="Arial"/>
                <w:szCs w:val="24"/>
              </w:rPr>
              <w:t xml:space="preserve">Mid-Term Test </w:t>
            </w:r>
          </w:p>
        </w:tc>
        <w:tc>
          <w:tcPr>
            <w:tcW w:w="4397" w:type="dxa"/>
            <w:hideMark/>
          </w:tcPr>
          <w:p w:rsidR="006B0748" w:rsidRDefault="006B0748">
            <w:pPr>
              <w:spacing w:line="360" w:lineRule="auto"/>
              <w:rPr>
                <w:rFonts w:ascii="Arial" w:hAnsi="Arial"/>
              </w:rPr>
            </w:pPr>
            <w:r>
              <w:rPr>
                <w:rFonts w:ascii="Arial" w:hAnsi="Arial"/>
              </w:rPr>
              <w:t>15%</w:t>
            </w:r>
          </w:p>
        </w:tc>
      </w:tr>
      <w:tr w:rsidR="006B0748" w:rsidTr="006B0748">
        <w:tc>
          <w:tcPr>
            <w:tcW w:w="675" w:type="dxa"/>
          </w:tcPr>
          <w:p w:rsidR="006B0748" w:rsidRDefault="006B0748">
            <w:pPr>
              <w:pStyle w:val="EnvelopeReturn"/>
            </w:pPr>
          </w:p>
        </w:tc>
        <w:tc>
          <w:tcPr>
            <w:tcW w:w="4396" w:type="dxa"/>
            <w:hideMark/>
          </w:tcPr>
          <w:p w:rsidR="006B0748" w:rsidRDefault="006B0748">
            <w:pPr>
              <w:pStyle w:val="EnvelopeReturn"/>
              <w:spacing w:line="360" w:lineRule="auto"/>
              <w:rPr>
                <w:rFonts w:cs="Arial"/>
                <w:szCs w:val="24"/>
              </w:rPr>
            </w:pPr>
            <w:r>
              <w:rPr>
                <w:rFonts w:cs="Arial"/>
                <w:szCs w:val="24"/>
              </w:rPr>
              <w:t>Intergenerational Trauma Report</w:t>
            </w:r>
          </w:p>
        </w:tc>
        <w:tc>
          <w:tcPr>
            <w:tcW w:w="4397" w:type="dxa"/>
            <w:hideMark/>
          </w:tcPr>
          <w:p w:rsidR="006B0748" w:rsidRDefault="006B0748">
            <w:pPr>
              <w:spacing w:line="360" w:lineRule="auto"/>
              <w:rPr>
                <w:rFonts w:ascii="Arial" w:hAnsi="Arial"/>
              </w:rPr>
            </w:pPr>
            <w:r>
              <w:rPr>
                <w:rFonts w:ascii="Arial" w:hAnsi="Arial"/>
              </w:rPr>
              <w:t xml:space="preserve">10%      (reflection journal  on video) </w:t>
            </w:r>
          </w:p>
        </w:tc>
      </w:tr>
      <w:tr w:rsidR="006B0748" w:rsidTr="006B0748">
        <w:tc>
          <w:tcPr>
            <w:tcW w:w="675" w:type="dxa"/>
          </w:tcPr>
          <w:p w:rsidR="006B0748" w:rsidRDefault="006B0748">
            <w:pPr>
              <w:pStyle w:val="EnvelopeReturn"/>
            </w:pPr>
          </w:p>
        </w:tc>
        <w:tc>
          <w:tcPr>
            <w:tcW w:w="4396" w:type="dxa"/>
            <w:hideMark/>
          </w:tcPr>
          <w:p w:rsidR="006B0748" w:rsidRDefault="006B0748">
            <w:pPr>
              <w:pStyle w:val="EnvelopeReturn"/>
              <w:spacing w:line="360" w:lineRule="auto"/>
              <w:rPr>
                <w:rFonts w:cs="Arial"/>
                <w:szCs w:val="24"/>
              </w:rPr>
            </w:pPr>
            <w:r>
              <w:rPr>
                <w:rFonts w:cs="Arial"/>
                <w:szCs w:val="24"/>
              </w:rPr>
              <w:t xml:space="preserve">Final Test  </w:t>
            </w:r>
            <w:r>
              <w:rPr>
                <w:rFonts w:cs="Arial"/>
                <w:szCs w:val="24"/>
              </w:rPr>
              <w:tab/>
            </w:r>
            <w:r>
              <w:rPr>
                <w:rFonts w:cs="Arial"/>
                <w:szCs w:val="24"/>
              </w:rPr>
              <w:tab/>
            </w:r>
            <w:r>
              <w:rPr>
                <w:rFonts w:cs="Arial"/>
                <w:szCs w:val="24"/>
              </w:rPr>
              <w:tab/>
            </w:r>
            <w:r>
              <w:rPr>
                <w:rFonts w:cs="Arial"/>
                <w:szCs w:val="24"/>
              </w:rPr>
              <w:tab/>
              <w:t xml:space="preserve"> </w:t>
            </w:r>
          </w:p>
        </w:tc>
        <w:tc>
          <w:tcPr>
            <w:tcW w:w="4397" w:type="dxa"/>
            <w:hideMark/>
          </w:tcPr>
          <w:p w:rsidR="006B0748" w:rsidRDefault="006B0748">
            <w:pPr>
              <w:spacing w:line="360" w:lineRule="auto"/>
              <w:rPr>
                <w:rFonts w:ascii="Arial" w:hAnsi="Arial"/>
              </w:rPr>
            </w:pPr>
            <w:r>
              <w:rPr>
                <w:rFonts w:ascii="Arial" w:hAnsi="Arial"/>
              </w:rPr>
              <w:t>15%</w:t>
            </w:r>
          </w:p>
        </w:tc>
      </w:tr>
      <w:tr w:rsidR="006B0748" w:rsidTr="006B0748">
        <w:tc>
          <w:tcPr>
            <w:tcW w:w="675" w:type="dxa"/>
          </w:tcPr>
          <w:p w:rsidR="006B0748" w:rsidRDefault="006B0748">
            <w:pPr>
              <w:pStyle w:val="EnvelopeReturn"/>
            </w:pPr>
          </w:p>
        </w:tc>
        <w:tc>
          <w:tcPr>
            <w:tcW w:w="4396" w:type="dxa"/>
            <w:hideMark/>
          </w:tcPr>
          <w:p w:rsidR="006B0748" w:rsidRDefault="006B0748">
            <w:pPr>
              <w:pStyle w:val="EnvelopeReturn"/>
              <w:spacing w:line="360" w:lineRule="auto"/>
              <w:rPr>
                <w:rFonts w:cs="Arial"/>
                <w:szCs w:val="24"/>
              </w:rPr>
            </w:pPr>
            <w:r>
              <w:rPr>
                <w:rFonts w:cs="Arial"/>
                <w:szCs w:val="24"/>
              </w:rPr>
              <w:t>Class Prep Notes</w:t>
            </w:r>
          </w:p>
        </w:tc>
        <w:tc>
          <w:tcPr>
            <w:tcW w:w="4397" w:type="dxa"/>
            <w:hideMark/>
          </w:tcPr>
          <w:p w:rsidR="006B0748" w:rsidRDefault="006B0748">
            <w:pPr>
              <w:spacing w:line="360" w:lineRule="auto"/>
              <w:rPr>
                <w:rFonts w:ascii="Arial" w:hAnsi="Arial"/>
              </w:rPr>
            </w:pPr>
            <w:r>
              <w:rPr>
                <w:rFonts w:ascii="Arial" w:hAnsi="Arial"/>
              </w:rPr>
              <w:t xml:space="preserve">15%        </w:t>
            </w:r>
          </w:p>
        </w:tc>
      </w:tr>
      <w:tr w:rsidR="006B0748" w:rsidTr="006B0748">
        <w:tc>
          <w:tcPr>
            <w:tcW w:w="675" w:type="dxa"/>
          </w:tcPr>
          <w:p w:rsidR="006B0748" w:rsidRDefault="006B0748">
            <w:pPr>
              <w:pStyle w:val="EnvelopeReturn"/>
            </w:pPr>
          </w:p>
        </w:tc>
        <w:tc>
          <w:tcPr>
            <w:tcW w:w="4396" w:type="dxa"/>
            <w:hideMark/>
          </w:tcPr>
          <w:p w:rsidR="006B0748" w:rsidRDefault="006B0748">
            <w:pPr>
              <w:spacing w:line="360" w:lineRule="auto"/>
              <w:rPr>
                <w:rFonts w:ascii="Arial" w:hAnsi="Arial" w:cs="Arial"/>
                <w:szCs w:val="24"/>
              </w:rPr>
            </w:pPr>
            <w:r>
              <w:rPr>
                <w:rFonts w:ascii="Arial" w:hAnsi="Arial" w:cs="Arial"/>
                <w:szCs w:val="24"/>
              </w:rPr>
              <w:t xml:space="preserve">Attendance and Participation        </w:t>
            </w:r>
          </w:p>
        </w:tc>
        <w:tc>
          <w:tcPr>
            <w:tcW w:w="4397" w:type="dxa"/>
            <w:hideMark/>
          </w:tcPr>
          <w:p w:rsidR="006B0748" w:rsidRDefault="006B0748">
            <w:pPr>
              <w:spacing w:line="360" w:lineRule="auto"/>
              <w:rPr>
                <w:rFonts w:ascii="Arial" w:hAnsi="Arial"/>
                <w:u w:val="single"/>
              </w:rPr>
            </w:pPr>
            <w:r>
              <w:rPr>
                <w:rFonts w:ascii="Arial" w:hAnsi="Arial" w:cs="Arial"/>
                <w:szCs w:val="24"/>
                <w:u w:val="single"/>
              </w:rPr>
              <w:t xml:space="preserve"> 20%      </w:t>
            </w:r>
          </w:p>
        </w:tc>
      </w:tr>
      <w:tr w:rsidR="006B0748" w:rsidTr="006B0748">
        <w:tc>
          <w:tcPr>
            <w:tcW w:w="675" w:type="dxa"/>
          </w:tcPr>
          <w:p w:rsidR="006B0748" w:rsidRDefault="006B0748">
            <w:pPr>
              <w:pStyle w:val="EnvelopeReturn"/>
            </w:pPr>
          </w:p>
        </w:tc>
        <w:tc>
          <w:tcPr>
            <w:tcW w:w="4396" w:type="dxa"/>
            <w:hideMark/>
          </w:tcPr>
          <w:p w:rsidR="006B0748" w:rsidRDefault="006B0748">
            <w:pPr>
              <w:pStyle w:val="EnvelopeReturn"/>
              <w:spacing w:line="360" w:lineRule="auto"/>
              <w:rPr>
                <w:rFonts w:cs="Arial"/>
                <w:szCs w:val="24"/>
              </w:rPr>
            </w:pPr>
            <w:r>
              <w:rPr>
                <w:rFonts w:cs="Arial"/>
                <w:szCs w:val="24"/>
              </w:rPr>
              <w:t>TOTAL</w:t>
            </w:r>
            <w:r>
              <w:rPr>
                <w:rFonts w:cs="Arial"/>
                <w:szCs w:val="24"/>
              </w:rPr>
              <w:tab/>
            </w:r>
            <w:r>
              <w:rPr>
                <w:rFonts w:cs="Arial"/>
                <w:szCs w:val="24"/>
              </w:rPr>
              <w:tab/>
            </w:r>
            <w:r>
              <w:rPr>
                <w:rFonts w:cs="Arial"/>
                <w:szCs w:val="24"/>
              </w:rPr>
              <w:tab/>
            </w:r>
            <w:r>
              <w:rPr>
                <w:rFonts w:cs="Arial"/>
                <w:szCs w:val="24"/>
              </w:rPr>
              <w:tab/>
            </w:r>
          </w:p>
        </w:tc>
        <w:tc>
          <w:tcPr>
            <w:tcW w:w="4397" w:type="dxa"/>
            <w:hideMark/>
          </w:tcPr>
          <w:p w:rsidR="006B0748" w:rsidRDefault="006B0748">
            <w:pPr>
              <w:spacing w:line="360" w:lineRule="auto"/>
              <w:rPr>
                <w:rFonts w:ascii="Arial" w:hAnsi="Arial" w:cs="Arial"/>
                <w:szCs w:val="24"/>
              </w:rPr>
            </w:pPr>
            <w:r>
              <w:rPr>
                <w:rFonts w:ascii="Arial" w:hAnsi="Arial"/>
              </w:rPr>
              <w:t>100%</w:t>
            </w:r>
          </w:p>
        </w:tc>
      </w:tr>
    </w:tbl>
    <w:p w:rsidR="006B0748" w:rsidRDefault="006B0748" w:rsidP="006B0748"/>
    <w:p w:rsidR="006B0748" w:rsidRDefault="006B0748" w:rsidP="006B0748"/>
    <w:tbl>
      <w:tblPr>
        <w:tblW w:w="0" w:type="auto"/>
        <w:tblLayout w:type="fixed"/>
        <w:tblLook w:val="04A0" w:firstRow="1" w:lastRow="0" w:firstColumn="1" w:lastColumn="0" w:noHBand="0" w:noVBand="1"/>
      </w:tblPr>
      <w:tblGrid>
        <w:gridCol w:w="9468"/>
      </w:tblGrid>
      <w:tr w:rsidR="006B0748" w:rsidTr="006B0748">
        <w:tc>
          <w:tcPr>
            <w:tcW w:w="9468" w:type="dxa"/>
          </w:tcPr>
          <w:p w:rsidR="006B0748" w:rsidRDefault="006B0748">
            <w:pPr>
              <w:rPr>
                <w:rFonts w:ascii="Arial" w:hAnsi="Arial"/>
                <w:b/>
              </w:rPr>
            </w:pPr>
          </w:p>
          <w:p w:rsidR="006B0748" w:rsidRDefault="006B0748">
            <w:pPr>
              <w:rPr>
                <w:rFonts w:ascii="Arial" w:hAnsi="Arial"/>
                <w:b/>
              </w:rPr>
            </w:pPr>
          </w:p>
          <w:p w:rsidR="006B0748" w:rsidRDefault="006B0748">
            <w:pPr>
              <w:rPr>
                <w:rFonts w:ascii="Arial" w:hAnsi="Arial"/>
              </w:rPr>
            </w:pPr>
            <w:r>
              <w:rPr>
                <w:rFonts w:ascii="Arial" w:hAnsi="Arial"/>
                <w:b/>
              </w:rPr>
              <w:t>VIDEO REPORT</w:t>
            </w:r>
            <w:r>
              <w:rPr>
                <w:rFonts w:ascii="Arial" w:hAnsi="Arial"/>
              </w:rPr>
              <w:t xml:space="preserve">:  Students will be shown a video series in class with questions to answer based on the material presented in the videos. Details will be provided by the professor.  </w:t>
            </w:r>
            <w:r>
              <w:rPr>
                <w:rFonts w:ascii="Arial" w:hAnsi="Arial"/>
                <w:highlight w:val="yellow"/>
              </w:rPr>
              <w:t>(3 of 4 films)</w:t>
            </w:r>
          </w:p>
          <w:p w:rsidR="006B0748" w:rsidRDefault="006B0748">
            <w:pPr>
              <w:rPr>
                <w:rFonts w:ascii="Arial" w:hAnsi="Arial"/>
                <w:b/>
              </w:rPr>
            </w:pPr>
          </w:p>
          <w:p w:rsidR="006B0748" w:rsidRDefault="006B0748">
            <w:pPr>
              <w:rPr>
                <w:rFonts w:ascii="Arial" w:hAnsi="Arial"/>
              </w:rPr>
            </w:pPr>
            <w:r>
              <w:rPr>
                <w:rFonts w:ascii="Arial" w:hAnsi="Arial"/>
                <w:b/>
              </w:rPr>
              <w:t>IDENTITY AND WORLDVIEW ASSIGNMENT</w:t>
            </w:r>
            <w:r>
              <w:rPr>
                <w:rFonts w:ascii="Arial" w:hAnsi="Arial"/>
              </w:rPr>
              <w:t xml:space="preserve">:  This assignment will focus on chapters 2 &amp; 3 from the textbook, along with additional materials and in-class lectures. Questions will be assigned relating to the material provided.  Details will be provided by the professor. </w:t>
            </w:r>
          </w:p>
          <w:p w:rsidR="006B0748" w:rsidRDefault="006B0748">
            <w:pPr>
              <w:rPr>
                <w:rFonts w:ascii="Arial" w:hAnsi="Arial"/>
              </w:rPr>
            </w:pPr>
          </w:p>
          <w:p w:rsidR="006B0748" w:rsidRDefault="006B0748">
            <w:pPr>
              <w:rPr>
                <w:rFonts w:ascii="Arial" w:hAnsi="Arial"/>
              </w:rPr>
            </w:pPr>
            <w:r>
              <w:rPr>
                <w:rFonts w:ascii="Arial" w:hAnsi="Arial"/>
                <w:b/>
              </w:rPr>
              <w:t>INTERGENERATIONAL TRAUMA REPORT:</w:t>
            </w:r>
            <w:r>
              <w:rPr>
                <w:rFonts w:ascii="Arial" w:hAnsi="Arial"/>
              </w:rPr>
              <w:t xml:space="preserve">  This report will focus on chapter 5 from the textbook, additional resources provided, as well as a video shown in class.  Details will be provided by the professor.  </w:t>
            </w:r>
          </w:p>
          <w:p w:rsidR="006B0748" w:rsidRDefault="006B0748">
            <w:pPr>
              <w:rPr>
                <w:rFonts w:ascii="Arial" w:hAnsi="Arial"/>
              </w:rPr>
            </w:pPr>
          </w:p>
          <w:p w:rsidR="006B0748" w:rsidRDefault="006B0748">
            <w:pPr>
              <w:rPr>
                <w:rFonts w:ascii="Arial" w:hAnsi="Arial" w:cs="Arial"/>
                <w:bCs/>
              </w:rPr>
            </w:pPr>
            <w:r>
              <w:rPr>
                <w:rFonts w:ascii="Arial" w:hAnsi="Arial"/>
                <w:b/>
              </w:rPr>
              <w:t>TESTS</w:t>
            </w:r>
            <w:r>
              <w:rPr>
                <w:rFonts w:ascii="Arial" w:hAnsi="Arial"/>
              </w:rPr>
              <w:t xml:space="preserve">:  </w:t>
            </w:r>
            <w:r>
              <w:rPr>
                <w:rFonts w:ascii="Arial" w:hAnsi="Arial" w:cs="Arial"/>
                <w:bCs/>
              </w:rPr>
              <w:t xml:space="preserve">There will be two tests, one midway and one at the end of the semester based on assigned readings and in-class lectures.  Students are permitted to bring notes into the tests but no textbooks.  Tests </w:t>
            </w:r>
            <w:r>
              <w:rPr>
                <w:rFonts w:ascii="Arial" w:hAnsi="Arial" w:cs="Arial"/>
              </w:rPr>
              <w:t>CANNOT</w:t>
            </w:r>
            <w:r>
              <w:rPr>
                <w:rFonts w:ascii="Arial" w:hAnsi="Arial" w:cs="Arial"/>
                <w:bCs/>
              </w:rPr>
              <w:t xml:space="preserve"> be rewritten in order to obtain a higher grade. Tests will only be individually rescheduled, at the discretion of the professor, for substantiated reasons for absence on test day.  Students requiring rescheduling must make arrangements directly with the professor PRIOR to the start of the test.</w:t>
            </w:r>
          </w:p>
          <w:p w:rsidR="006B0748" w:rsidRDefault="006B0748">
            <w:pPr>
              <w:rPr>
                <w:rFonts w:ascii="Arial" w:hAnsi="Arial" w:cs="Arial"/>
                <w:bCs/>
              </w:rPr>
            </w:pPr>
          </w:p>
          <w:p w:rsidR="006B0748" w:rsidRDefault="006B0748">
            <w:pPr>
              <w:rPr>
                <w:rFonts w:ascii="Arial" w:hAnsi="Arial" w:cs="Arial"/>
                <w:bCs/>
              </w:rPr>
            </w:pPr>
            <w:r>
              <w:rPr>
                <w:rFonts w:ascii="Arial" w:hAnsi="Arial" w:cs="Arial"/>
                <w:b/>
                <w:bCs/>
              </w:rPr>
              <w:t>CLASS PREP NOTES:</w:t>
            </w:r>
            <w:r>
              <w:rPr>
                <w:rFonts w:ascii="Arial" w:hAnsi="Arial" w:cs="Arial"/>
                <w:bCs/>
              </w:rPr>
              <w:t xml:space="preserve"> Students will be assigned readings to prepare for classes throughout the semester.  A Class Prep Notes template will be provided to serve as an advanced organizer to assist in removing learning barriers.  Students are expected to complete and submit a minimum of 10 Class Prep Notes.  Students who do not meet the minimum of 10 will receive ½ marks for each completed note submitted.  Details will be provided by the professor</w:t>
            </w:r>
            <w:r>
              <w:rPr>
                <w:rFonts w:ascii="Arial" w:hAnsi="Arial" w:cs="Arial"/>
                <w:bCs/>
                <w:highlight w:val="yellow"/>
              </w:rPr>
              <w:t>.     (6 of 10 chapters)</w:t>
            </w:r>
          </w:p>
          <w:p w:rsidR="006B0748" w:rsidRDefault="006B0748">
            <w:pPr>
              <w:rPr>
                <w:rFonts w:ascii="Arial" w:hAnsi="Arial"/>
                <w:b/>
              </w:rPr>
            </w:pPr>
          </w:p>
          <w:p w:rsidR="006B0748" w:rsidRDefault="006B0748">
            <w:pPr>
              <w:rPr>
                <w:rFonts w:ascii="Arial" w:hAnsi="Arial"/>
              </w:rPr>
            </w:pPr>
            <w:r>
              <w:rPr>
                <w:rFonts w:ascii="Arial" w:hAnsi="Arial"/>
                <w:b/>
              </w:rPr>
              <w:t>ATTENDANCE AND PARTICIPATION:</w:t>
            </w:r>
            <w:r>
              <w:rPr>
                <w:rFonts w:ascii="Arial" w:hAnsi="Arial"/>
              </w:rPr>
              <w:t xml:space="preserve">  Students will be graded on attendance for all classes, preparedness for class including assigned readings, contribution to discussions, and the ability to communicate effectively during in-class activities.  Students are expected to arrive on time for all classes, and utilize D2L for course materials.</w:t>
            </w:r>
          </w:p>
        </w:tc>
      </w:tr>
    </w:tbl>
    <w:p w:rsidR="006B0748" w:rsidRDefault="006B0748" w:rsidP="006B0748"/>
    <w:tbl>
      <w:tblPr>
        <w:tblW w:w="0" w:type="auto"/>
        <w:tblLayout w:type="fixed"/>
        <w:tblLook w:val="04A0" w:firstRow="1" w:lastRow="0" w:firstColumn="1" w:lastColumn="0" w:noHBand="0" w:noVBand="1"/>
      </w:tblPr>
      <w:tblGrid>
        <w:gridCol w:w="675"/>
        <w:gridCol w:w="8793"/>
      </w:tblGrid>
      <w:tr w:rsidR="006B0748" w:rsidTr="006B0748">
        <w:trPr>
          <w:cantSplit/>
        </w:trPr>
        <w:tc>
          <w:tcPr>
            <w:tcW w:w="675" w:type="dxa"/>
          </w:tcPr>
          <w:p w:rsidR="006B0748" w:rsidRDefault="006B0748">
            <w:pPr>
              <w:pStyle w:val="EnvelopeReturn"/>
            </w:pPr>
          </w:p>
        </w:tc>
        <w:tc>
          <w:tcPr>
            <w:tcW w:w="8793" w:type="dxa"/>
            <w:hideMark/>
          </w:tcPr>
          <w:p w:rsidR="006B0748" w:rsidRDefault="006B0748">
            <w:pPr>
              <w:rPr>
                <w:rFonts w:ascii="Arial" w:hAnsi="Arial"/>
              </w:rPr>
            </w:pPr>
            <w:r>
              <w:rPr>
                <w:rFonts w:ascii="Arial" w:hAnsi="Arial"/>
              </w:rPr>
              <w:t>The following semester grades will be assigned to students:</w:t>
            </w:r>
          </w:p>
        </w:tc>
      </w:tr>
    </w:tbl>
    <w:p w:rsidR="006B0748" w:rsidRDefault="006B0748" w:rsidP="006B0748">
      <w:pPr>
        <w:rPr>
          <w:rFonts w:ascii="Arial" w:hAnsi="Arial"/>
        </w:rPr>
      </w:pPr>
    </w:p>
    <w:tbl>
      <w:tblPr>
        <w:tblW w:w="0" w:type="auto"/>
        <w:tblLayout w:type="fixed"/>
        <w:tblLook w:val="04A0" w:firstRow="1" w:lastRow="0" w:firstColumn="1" w:lastColumn="0" w:noHBand="0" w:noVBand="1"/>
      </w:tblPr>
      <w:tblGrid>
        <w:gridCol w:w="675"/>
        <w:gridCol w:w="1701"/>
        <w:gridCol w:w="4678"/>
        <w:gridCol w:w="2414"/>
      </w:tblGrid>
      <w:tr w:rsidR="006B0748" w:rsidTr="006B0748">
        <w:tc>
          <w:tcPr>
            <w:tcW w:w="675" w:type="dxa"/>
          </w:tcPr>
          <w:p w:rsidR="006B0748" w:rsidRDefault="006B0748">
            <w:pPr>
              <w:rPr>
                <w:rFonts w:ascii="Arial" w:hAnsi="Arial" w:cs="Arial"/>
              </w:rPr>
            </w:pPr>
          </w:p>
        </w:tc>
        <w:tc>
          <w:tcPr>
            <w:tcW w:w="1701" w:type="dxa"/>
          </w:tcPr>
          <w:p w:rsidR="006B0748" w:rsidRDefault="006B0748">
            <w:pPr>
              <w:jc w:val="center"/>
              <w:rPr>
                <w:rFonts w:ascii="Arial" w:hAnsi="Arial" w:cs="Arial"/>
                <w:iCs/>
              </w:rPr>
            </w:pPr>
          </w:p>
          <w:p w:rsidR="006B0748" w:rsidRDefault="006B0748">
            <w:pPr>
              <w:pStyle w:val="Heading2"/>
              <w:rPr>
                <w:rFonts w:ascii="Arial" w:hAnsi="Arial" w:cs="Arial"/>
                <w:b w:val="0"/>
                <w:u w:val="single"/>
              </w:rPr>
            </w:pPr>
            <w:r>
              <w:rPr>
                <w:rFonts w:ascii="Arial" w:hAnsi="Arial" w:cs="Arial"/>
                <w:b w:val="0"/>
                <w:u w:val="single"/>
              </w:rPr>
              <w:t>Grade</w:t>
            </w:r>
          </w:p>
        </w:tc>
        <w:tc>
          <w:tcPr>
            <w:tcW w:w="4678" w:type="dxa"/>
          </w:tcPr>
          <w:p w:rsidR="006B0748" w:rsidRDefault="006B0748">
            <w:pPr>
              <w:jc w:val="center"/>
              <w:rPr>
                <w:rFonts w:ascii="Arial" w:hAnsi="Arial" w:cs="Arial"/>
                <w:iCs/>
              </w:rPr>
            </w:pPr>
          </w:p>
          <w:p w:rsidR="006B0748" w:rsidRDefault="006B0748">
            <w:pPr>
              <w:pStyle w:val="Heading1"/>
              <w:rPr>
                <w:rFonts w:ascii="Arial" w:hAnsi="Arial" w:cs="Arial"/>
                <w:b w:val="0"/>
              </w:rPr>
            </w:pPr>
            <w:r>
              <w:rPr>
                <w:rFonts w:ascii="Arial" w:hAnsi="Arial" w:cs="Arial"/>
                <w:b w:val="0"/>
              </w:rPr>
              <w:t>Definition</w:t>
            </w:r>
          </w:p>
        </w:tc>
        <w:tc>
          <w:tcPr>
            <w:tcW w:w="2414" w:type="dxa"/>
            <w:hideMark/>
          </w:tcPr>
          <w:p w:rsidR="006B0748" w:rsidRDefault="006B0748">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A+</w:t>
            </w:r>
          </w:p>
        </w:tc>
        <w:tc>
          <w:tcPr>
            <w:tcW w:w="4678" w:type="dxa"/>
            <w:hideMark/>
          </w:tcPr>
          <w:p w:rsidR="006B0748" w:rsidRDefault="006B0748">
            <w:pPr>
              <w:jc w:val="center"/>
              <w:rPr>
                <w:rFonts w:ascii="Arial" w:hAnsi="Arial" w:cs="Arial"/>
              </w:rPr>
            </w:pPr>
            <w:r>
              <w:rPr>
                <w:rFonts w:ascii="Arial" w:hAnsi="Arial" w:cs="Arial"/>
              </w:rPr>
              <w:t>90 – 100%</w:t>
            </w:r>
          </w:p>
        </w:tc>
        <w:tc>
          <w:tcPr>
            <w:tcW w:w="2414" w:type="dxa"/>
            <w:vMerge w:val="restart"/>
            <w:vAlign w:val="center"/>
            <w:hideMark/>
          </w:tcPr>
          <w:p w:rsidR="006B0748" w:rsidRDefault="006B0748">
            <w:pPr>
              <w:jc w:val="center"/>
              <w:rPr>
                <w:rFonts w:ascii="Arial" w:hAnsi="Arial" w:cs="Arial"/>
              </w:rPr>
            </w:pPr>
            <w:r>
              <w:rPr>
                <w:rFonts w:ascii="Arial" w:hAnsi="Arial" w:cs="Arial"/>
              </w:rPr>
              <w:t>4.00</w:t>
            </w: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A</w:t>
            </w:r>
          </w:p>
        </w:tc>
        <w:tc>
          <w:tcPr>
            <w:tcW w:w="4678" w:type="dxa"/>
            <w:hideMark/>
          </w:tcPr>
          <w:p w:rsidR="006B0748" w:rsidRDefault="006B0748">
            <w:pPr>
              <w:jc w:val="center"/>
              <w:rPr>
                <w:rFonts w:ascii="Arial" w:hAnsi="Arial" w:cs="Arial"/>
              </w:rPr>
            </w:pPr>
            <w:r>
              <w:rPr>
                <w:rFonts w:ascii="Arial" w:hAnsi="Arial" w:cs="Arial"/>
              </w:rPr>
              <w:t>80 – 89%</w:t>
            </w:r>
          </w:p>
        </w:tc>
        <w:tc>
          <w:tcPr>
            <w:tcW w:w="2414" w:type="dxa"/>
            <w:vMerge/>
            <w:vAlign w:val="center"/>
            <w:hideMark/>
          </w:tcPr>
          <w:p w:rsidR="006B0748" w:rsidRDefault="006B0748">
            <w:pPr>
              <w:rPr>
                <w:rFonts w:ascii="Arial" w:hAnsi="Arial" w:cs="Arial"/>
              </w:rPr>
            </w:pP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B</w:t>
            </w:r>
          </w:p>
        </w:tc>
        <w:tc>
          <w:tcPr>
            <w:tcW w:w="4678" w:type="dxa"/>
            <w:hideMark/>
          </w:tcPr>
          <w:p w:rsidR="006B0748" w:rsidRDefault="006B0748">
            <w:pPr>
              <w:jc w:val="center"/>
              <w:rPr>
                <w:rFonts w:ascii="Arial" w:hAnsi="Arial" w:cs="Arial"/>
              </w:rPr>
            </w:pPr>
            <w:r>
              <w:rPr>
                <w:rFonts w:ascii="Arial" w:hAnsi="Arial" w:cs="Arial"/>
              </w:rPr>
              <w:t>70 - 79%</w:t>
            </w:r>
          </w:p>
        </w:tc>
        <w:tc>
          <w:tcPr>
            <w:tcW w:w="2414" w:type="dxa"/>
            <w:hideMark/>
          </w:tcPr>
          <w:p w:rsidR="006B0748" w:rsidRDefault="006B0748">
            <w:pPr>
              <w:jc w:val="center"/>
              <w:rPr>
                <w:rFonts w:ascii="Arial" w:hAnsi="Arial" w:cs="Arial"/>
              </w:rPr>
            </w:pPr>
            <w:r>
              <w:rPr>
                <w:rFonts w:ascii="Arial" w:hAnsi="Arial" w:cs="Arial"/>
              </w:rPr>
              <w:t>3.00</w:t>
            </w: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C</w:t>
            </w:r>
          </w:p>
        </w:tc>
        <w:tc>
          <w:tcPr>
            <w:tcW w:w="4678" w:type="dxa"/>
            <w:hideMark/>
          </w:tcPr>
          <w:p w:rsidR="006B0748" w:rsidRDefault="006B0748">
            <w:pPr>
              <w:jc w:val="center"/>
              <w:rPr>
                <w:rFonts w:ascii="Arial" w:hAnsi="Arial" w:cs="Arial"/>
              </w:rPr>
            </w:pPr>
            <w:r>
              <w:rPr>
                <w:rFonts w:ascii="Arial" w:hAnsi="Arial" w:cs="Arial"/>
              </w:rPr>
              <w:t>60 - 69%</w:t>
            </w:r>
          </w:p>
        </w:tc>
        <w:tc>
          <w:tcPr>
            <w:tcW w:w="2414" w:type="dxa"/>
            <w:hideMark/>
          </w:tcPr>
          <w:p w:rsidR="006B0748" w:rsidRDefault="006B0748">
            <w:pPr>
              <w:jc w:val="center"/>
              <w:rPr>
                <w:rFonts w:ascii="Arial" w:hAnsi="Arial" w:cs="Arial"/>
              </w:rPr>
            </w:pPr>
            <w:r>
              <w:rPr>
                <w:rFonts w:ascii="Arial" w:hAnsi="Arial" w:cs="Arial"/>
              </w:rPr>
              <w:t>2.00</w:t>
            </w: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D</w:t>
            </w:r>
          </w:p>
        </w:tc>
        <w:tc>
          <w:tcPr>
            <w:tcW w:w="4678" w:type="dxa"/>
            <w:hideMark/>
          </w:tcPr>
          <w:p w:rsidR="006B0748" w:rsidRDefault="006B0748">
            <w:pPr>
              <w:jc w:val="center"/>
              <w:rPr>
                <w:rFonts w:ascii="Arial" w:hAnsi="Arial" w:cs="Arial"/>
              </w:rPr>
            </w:pPr>
            <w:r>
              <w:rPr>
                <w:rFonts w:ascii="Arial" w:hAnsi="Arial" w:cs="Arial"/>
              </w:rPr>
              <w:t>50 – 59%</w:t>
            </w:r>
          </w:p>
        </w:tc>
        <w:tc>
          <w:tcPr>
            <w:tcW w:w="2414" w:type="dxa"/>
            <w:hideMark/>
          </w:tcPr>
          <w:p w:rsidR="006B0748" w:rsidRDefault="006B0748">
            <w:pPr>
              <w:jc w:val="center"/>
              <w:rPr>
                <w:rFonts w:ascii="Arial" w:hAnsi="Arial" w:cs="Arial"/>
              </w:rPr>
            </w:pPr>
            <w:r>
              <w:rPr>
                <w:rFonts w:ascii="Arial" w:hAnsi="Arial" w:cs="Arial"/>
              </w:rPr>
              <w:t>1.00</w:t>
            </w: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F (Fail)</w:t>
            </w:r>
          </w:p>
        </w:tc>
        <w:tc>
          <w:tcPr>
            <w:tcW w:w="4678" w:type="dxa"/>
            <w:hideMark/>
          </w:tcPr>
          <w:p w:rsidR="006B0748" w:rsidRDefault="006B0748">
            <w:pPr>
              <w:jc w:val="center"/>
              <w:rPr>
                <w:rFonts w:ascii="Arial" w:hAnsi="Arial" w:cs="Arial"/>
              </w:rPr>
            </w:pPr>
            <w:r>
              <w:rPr>
                <w:rFonts w:ascii="Arial" w:hAnsi="Arial" w:cs="Arial"/>
              </w:rPr>
              <w:t>49% and below</w:t>
            </w:r>
          </w:p>
        </w:tc>
        <w:tc>
          <w:tcPr>
            <w:tcW w:w="2414" w:type="dxa"/>
            <w:hideMark/>
          </w:tcPr>
          <w:p w:rsidR="006B0748" w:rsidRDefault="006B0748">
            <w:pPr>
              <w:jc w:val="center"/>
              <w:rPr>
                <w:rFonts w:ascii="Arial" w:hAnsi="Arial" w:cs="Arial"/>
              </w:rPr>
            </w:pPr>
            <w:r>
              <w:rPr>
                <w:rFonts w:ascii="Arial" w:hAnsi="Arial" w:cs="Arial"/>
              </w:rPr>
              <w:t>0.00</w:t>
            </w:r>
          </w:p>
        </w:tc>
      </w:tr>
    </w:tbl>
    <w:p w:rsidR="006B0748" w:rsidRDefault="006B0748" w:rsidP="006B0748">
      <w:r>
        <w:br w:type="page"/>
      </w:r>
    </w:p>
    <w:tbl>
      <w:tblPr>
        <w:tblW w:w="0" w:type="auto"/>
        <w:tblLayout w:type="fixed"/>
        <w:tblLook w:val="04A0" w:firstRow="1" w:lastRow="0" w:firstColumn="1" w:lastColumn="0" w:noHBand="0" w:noVBand="1"/>
      </w:tblPr>
      <w:tblGrid>
        <w:gridCol w:w="675"/>
        <w:gridCol w:w="1701"/>
        <w:gridCol w:w="4678"/>
        <w:gridCol w:w="2414"/>
      </w:tblGrid>
      <w:tr w:rsidR="006B0748" w:rsidTr="006B0748">
        <w:tc>
          <w:tcPr>
            <w:tcW w:w="675" w:type="dxa"/>
          </w:tcPr>
          <w:p w:rsidR="006B0748" w:rsidRDefault="006B0748">
            <w:pPr>
              <w:rPr>
                <w:rFonts w:ascii="Arial" w:hAnsi="Arial" w:cs="Arial"/>
              </w:rPr>
            </w:pPr>
          </w:p>
        </w:tc>
        <w:tc>
          <w:tcPr>
            <w:tcW w:w="1701" w:type="dxa"/>
          </w:tcPr>
          <w:p w:rsidR="006B0748" w:rsidRDefault="006B0748">
            <w:pPr>
              <w:rPr>
                <w:rFonts w:ascii="Arial" w:hAnsi="Arial" w:cs="Arial"/>
              </w:rPr>
            </w:pPr>
          </w:p>
        </w:tc>
        <w:tc>
          <w:tcPr>
            <w:tcW w:w="4678" w:type="dxa"/>
          </w:tcPr>
          <w:p w:rsidR="006B0748" w:rsidRDefault="006B0748">
            <w:pPr>
              <w:rPr>
                <w:rFonts w:ascii="Arial" w:hAnsi="Arial" w:cs="Arial"/>
              </w:rPr>
            </w:pPr>
          </w:p>
        </w:tc>
        <w:tc>
          <w:tcPr>
            <w:tcW w:w="2414" w:type="dxa"/>
          </w:tcPr>
          <w:p w:rsidR="006B0748" w:rsidRDefault="006B0748">
            <w:pPr>
              <w:jc w:val="center"/>
              <w:rPr>
                <w:rFonts w:ascii="Arial" w:hAnsi="Arial" w:cs="Arial"/>
              </w:rPr>
            </w:pP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CR (Credit)</w:t>
            </w:r>
          </w:p>
        </w:tc>
        <w:tc>
          <w:tcPr>
            <w:tcW w:w="4678" w:type="dxa"/>
            <w:hideMark/>
          </w:tcPr>
          <w:p w:rsidR="006B0748" w:rsidRDefault="006B0748">
            <w:pPr>
              <w:rPr>
                <w:rFonts w:ascii="Arial" w:hAnsi="Arial" w:cs="Arial"/>
              </w:rPr>
            </w:pPr>
            <w:r>
              <w:rPr>
                <w:rFonts w:ascii="Arial" w:hAnsi="Arial" w:cs="Arial"/>
              </w:rPr>
              <w:t>Credit for diploma requirements has been awarded.</w:t>
            </w:r>
          </w:p>
        </w:tc>
        <w:tc>
          <w:tcPr>
            <w:tcW w:w="2414" w:type="dxa"/>
          </w:tcPr>
          <w:p w:rsidR="006B0748" w:rsidRDefault="006B0748">
            <w:pPr>
              <w:jc w:val="center"/>
              <w:rPr>
                <w:rFonts w:ascii="Arial" w:hAnsi="Arial" w:cs="Arial"/>
              </w:rPr>
            </w:pP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S</w:t>
            </w:r>
          </w:p>
        </w:tc>
        <w:tc>
          <w:tcPr>
            <w:tcW w:w="4678" w:type="dxa"/>
            <w:hideMark/>
          </w:tcPr>
          <w:p w:rsidR="006B0748" w:rsidRDefault="006B0748">
            <w:pPr>
              <w:rPr>
                <w:rFonts w:ascii="Arial" w:hAnsi="Arial" w:cs="Arial"/>
              </w:rPr>
            </w:pPr>
            <w:r>
              <w:rPr>
                <w:rFonts w:ascii="Arial" w:hAnsi="Arial" w:cs="Arial"/>
              </w:rPr>
              <w:t>Satisfactory achievement in field /clinical placement or non-graded subject area.</w:t>
            </w:r>
          </w:p>
        </w:tc>
        <w:tc>
          <w:tcPr>
            <w:tcW w:w="2414" w:type="dxa"/>
          </w:tcPr>
          <w:p w:rsidR="006B0748" w:rsidRDefault="006B0748">
            <w:pPr>
              <w:jc w:val="center"/>
              <w:rPr>
                <w:rFonts w:ascii="Arial" w:hAnsi="Arial" w:cs="Arial"/>
              </w:rPr>
            </w:pP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U</w:t>
            </w:r>
          </w:p>
        </w:tc>
        <w:tc>
          <w:tcPr>
            <w:tcW w:w="4678" w:type="dxa"/>
            <w:hideMark/>
          </w:tcPr>
          <w:p w:rsidR="006B0748" w:rsidRDefault="006B0748">
            <w:pPr>
              <w:rPr>
                <w:rFonts w:ascii="Arial" w:hAnsi="Arial" w:cs="Arial"/>
              </w:rPr>
            </w:pPr>
            <w:r>
              <w:rPr>
                <w:rFonts w:ascii="Arial" w:hAnsi="Arial" w:cs="Arial"/>
              </w:rPr>
              <w:t>Unsatisfactory achievement in field/clinical placement or non-graded subject area.</w:t>
            </w:r>
          </w:p>
        </w:tc>
        <w:tc>
          <w:tcPr>
            <w:tcW w:w="2414" w:type="dxa"/>
          </w:tcPr>
          <w:p w:rsidR="006B0748" w:rsidRDefault="006B0748">
            <w:pPr>
              <w:jc w:val="center"/>
              <w:rPr>
                <w:rFonts w:ascii="Arial" w:hAnsi="Arial" w:cs="Arial"/>
              </w:rPr>
            </w:pP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X</w:t>
            </w:r>
          </w:p>
        </w:tc>
        <w:tc>
          <w:tcPr>
            <w:tcW w:w="4678" w:type="dxa"/>
            <w:hideMark/>
          </w:tcPr>
          <w:p w:rsidR="006B0748" w:rsidRDefault="006B074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6B0748" w:rsidRDefault="006B0748">
            <w:pPr>
              <w:jc w:val="center"/>
              <w:rPr>
                <w:rFonts w:ascii="Arial" w:hAnsi="Arial" w:cs="Arial"/>
              </w:rPr>
            </w:pP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NR</w:t>
            </w:r>
          </w:p>
        </w:tc>
        <w:tc>
          <w:tcPr>
            <w:tcW w:w="4678" w:type="dxa"/>
            <w:hideMark/>
          </w:tcPr>
          <w:p w:rsidR="006B0748" w:rsidRDefault="006B0748">
            <w:pPr>
              <w:rPr>
                <w:rFonts w:ascii="Arial" w:hAnsi="Arial" w:cs="Arial"/>
              </w:rPr>
            </w:pPr>
            <w:r>
              <w:rPr>
                <w:rFonts w:ascii="Arial" w:hAnsi="Arial" w:cs="Arial"/>
              </w:rPr>
              <w:t xml:space="preserve">Grade not reported to Registrar's office.  </w:t>
            </w:r>
          </w:p>
        </w:tc>
        <w:tc>
          <w:tcPr>
            <w:tcW w:w="2414" w:type="dxa"/>
          </w:tcPr>
          <w:p w:rsidR="006B0748" w:rsidRDefault="006B0748">
            <w:pPr>
              <w:jc w:val="center"/>
              <w:rPr>
                <w:rFonts w:ascii="Arial" w:hAnsi="Arial" w:cs="Arial"/>
              </w:rPr>
            </w:pPr>
          </w:p>
        </w:tc>
      </w:tr>
      <w:tr w:rsidR="006B0748" w:rsidTr="006B0748">
        <w:tc>
          <w:tcPr>
            <w:tcW w:w="675" w:type="dxa"/>
          </w:tcPr>
          <w:p w:rsidR="006B0748" w:rsidRDefault="006B0748">
            <w:pPr>
              <w:rPr>
                <w:rFonts w:ascii="Arial" w:hAnsi="Arial" w:cs="Arial"/>
              </w:rPr>
            </w:pPr>
          </w:p>
        </w:tc>
        <w:tc>
          <w:tcPr>
            <w:tcW w:w="1701" w:type="dxa"/>
            <w:hideMark/>
          </w:tcPr>
          <w:p w:rsidR="006B0748" w:rsidRDefault="006B0748">
            <w:pPr>
              <w:rPr>
                <w:rFonts w:ascii="Arial" w:hAnsi="Arial" w:cs="Arial"/>
              </w:rPr>
            </w:pPr>
            <w:r>
              <w:rPr>
                <w:rFonts w:ascii="Arial" w:hAnsi="Arial" w:cs="Arial"/>
              </w:rPr>
              <w:t>W</w:t>
            </w:r>
          </w:p>
        </w:tc>
        <w:tc>
          <w:tcPr>
            <w:tcW w:w="4678" w:type="dxa"/>
            <w:hideMark/>
          </w:tcPr>
          <w:p w:rsidR="006B0748" w:rsidRDefault="006B0748">
            <w:pPr>
              <w:rPr>
                <w:rFonts w:ascii="Arial" w:hAnsi="Arial" w:cs="Arial"/>
              </w:rPr>
            </w:pPr>
            <w:r>
              <w:rPr>
                <w:rFonts w:ascii="Arial" w:hAnsi="Arial" w:cs="Arial"/>
              </w:rPr>
              <w:t>Student has withdrawn from the course without academic penalty.</w:t>
            </w:r>
          </w:p>
        </w:tc>
        <w:tc>
          <w:tcPr>
            <w:tcW w:w="2414" w:type="dxa"/>
          </w:tcPr>
          <w:p w:rsidR="006B0748" w:rsidRDefault="006B0748">
            <w:pPr>
              <w:jc w:val="center"/>
              <w:rPr>
                <w:rFonts w:ascii="Arial" w:hAnsi="Arial" w:cs="Arial"/>
              </w:rPr>
            </w:pPr>
          </w:p>
        </w:tc>
      </w:tr>
    </w:tbl>
    <w:p w:rsidR="006B0748" w:rsidRDefault="006B0748" w:rsidP="006B0748">
      <w:pPr>
        <w:rPr>
          <w:rFonts w:ascii="Arial" w:hAnsi="Arial" w:cs="Arial"/>
        </w:rPr>
      </w:pPr>
    </w:p>
    <w:tbl>
      <w:tblPr>
        <w:tblW w:w="0" w:type="auto"/>
        <w:tblLayout w:type="fixed"/>
        <w:tblLook w:val="04A0" w:firstRow="1" w:lastRow="0" w:firstColumn="1" w:lastColumn="0" w:noHBand="0" w:noVBand="1"/>
      </w:tblPr>
      <w:tblGrid>
        <w:gridCol w:w="675"/>
        <w:gridCol w:w="8793"/>
      </w:tblGrid>
      <w:tr w:rsidR="006B0748" w:rsidTr="006B0748">
        <w:tc>
          <w:tcPr>
            <w:tcW w:w="675" w:type="dxa"/>
            <w:hideMark/>
          </w:tcPr>
          <w:p w:rsidR="006B0748" w:rsidRDefault="006B0748">
            <w:pPr>
              <w:rPr>
                <w:rFonts w:ascii="Arial" w:hAnsi="Arial"/>
                <w:b/>
              </w:rPr>
            </w:pPr>
            <w:r>
              <w:rPr>
                <w:rFonts w:ascii="Arial" w:hAnsi="Arial"/>
                <w:b/>
              </w:rPr>
              <w:t>VI.</w:t>
            </w:r>
          </w:p>
        </w:tc>
        <w:tc>
          <w:tcPr>
            <w:tcW w:w="8793" w:type="dxa"/>
            <w:hideMark/>
          </w:tcPr>
          <w:p w:rsidR="006B0748" w:rsidRDefault="006B0748">
            <w:pPr>
              <w:rPr>
                <w:rFonts w:ascii="Arial" w:hAnsi="Arial"/>
                <w:b/>
              </w:rPr>
            </w:pPr>
            <w:r>
              <w:rPr>
                <w:rFonts w:ascii="Arial" w:hAnsi="Arial"/>
                <w:b/>
              </w:rPr>
              <w:t>SPECIAL NOTES:</w:t>
            </w:r>
          </w:p>
        </w:tc>
      </w:tr>
      <w:tr w:rsidR="006B0748" w:rsidTr="006B0748">
        <w:tc>
          <w:tcPr>
            <w:tcW w:w="9468" w:type="dxa"/>
            <w:gridSpan w:val="2"/>
          </w:tcPr>
          <w:p w:rsidR="006B0748" w:rsidRDefault="006B0748">
            <w:pPr>
              <w:rPr>
                <w:rFonts w:ascii="Arial" w:hAnsi="Arial"/>
              </w:rPr>
            </w:pPr>
          </w:p>
        </w:tc>
      </w:tr>
      <w:tr w:rsidR="006B0748" w:rsidTr="006B0748">
        <w:tc>
          <w:tcPr>
            <w:tcW w:w="9468" w:type="dxa"/>
            <w:gridSpan w:val="2"/>
          </w:tcPr>
          <w:p w:rsidR="006B0748" w:rsidRDefault="006B0748">
            <w:pPr>
              <w:rPr>
                <w:rFonts w:ascii="Arial" w:hAnsi="Arial" w:cs="Arial"/>
                <w:szCs w:val="24"/>
                <w:u w:val="single"/>
              </w:rPr>
            </w:pPr>
            <w:r>
              <w:rPr>
                <w:rFonts w:ascii="Arial" w:hAnsi="Arial" w:cs="Arial"/>
                <w:szCs w:val="24"/>
                <w:u w:val="single"/>
              </w:rPr>
              <w:t>Attendance:</w:t>
            </w:r>
          </w:p>
          <w:p w:rsidR="006B0748" w:rsidRDefault="006B074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B0748" w:rsidRDefault="006B0748">
            <w:pPr>
              <w:rPr>
                <w:rFonts w:ascii="Arial" w:hAnsi="Arial" w:cs="Arial"/>
                <w:szCs w:val="24"/>
              </w:rPr>
            </w:pPr>
          </w:p>
          <w:p w:rsidR="006B0748" w:rsidRDefault="006B0748">
            <w:pPr>
              <w:rPr>
                <w:rFonts w:ascii="Arial" w:hAnsi="Arial" w:cs="Arial"/>
                <w:u w:val="single"/>
              </w:rPr>
            </w:pPr>
            <w:r>
              <w:rPr>
                <w:rFonts w:ascii="Arial" w:hAnsi="Arial" w:cs="Arial"/>
                <w:u w:val="single"/>
              </w:rPr>
              <w:t>Late Arrival:</w:t>
            </w:r>
          </w:p>
          <w:p w:rsidR="006B0748" w:rsidRDefault="006B0748">
            <w:pPr>
              <w:rPr>
                <w:rFonts w:ascii="Arial" w:hAnsi="Arial" w:cs="Arial"/>
                <w:szCs w:val="24"/>
                <w:u w:val="single"/>
              </w:rPr>
            </w:pPr>
            <w:r>
              <w:rPr>
                <w:rFonts w:ascii="Arial" w:hAnsi="Arial" w:cs="Arial"/>
              </w:rPr>
              <w:t xml:space="preserve">Arriving late is disruptive, and interferes with the learning process for others. If late arrival becomes a pattern, students may be asked to respect the learning process and wait to enter until break.  </w:t>
            </w:r>
          </w:p>
        </w:tc>
      </w:tr>
    </w:tbl>
    <w:p w:rsidR="006B0748" w:rsidRDefault="006B0748" w:rsidP="006B0748">
      <w:pPr>
        <w:pStyle w:val="EnvelopeReturn"/>
      </w:pPr>
    </w:p>
    <w:p w:rsidR="006B0748" w:rsidRDefault="006B0748" w:rsidP="006B0748">
      <w:pPr>
        <w:pStyle w:val="EnvelopeReturn"/>
      </w:pPr>
    </w:p>
    <w:tbl>
      <w:tblPr>
        <w:tblW w:w="0" w:type="auto"/>
        <w:tblLayout w:type="fixed"/>
        <w:tblLook w:val="04A0" w:firstRow="1" w:lastRow="0" w:firstColumn="1" w:lastColumn="0" w:noHBand="0" w:noVBand="1"/>
      </w:tblPr>
      <w:tblGrid>
        <w:gridCol w:w="675"/>
        <w:gridCol w:w="8793"/>
      </w:tblGrid>
      <w:tr w:rsidR="006B0748" w:rsidTr="006B0748">
        <w:trPr>
          <w:cantSplit/>
        </w:trPr>
        <w:tc>
          <w:tcPr>
            <w:tcW w:w="675" w:type="dxa"/>
            <w:hideMark/>
          </w:tcPr>
          <w:p w:rsidR="006B0748" w:rsidRDefault="006B0748">
            <w:pPr>
              <w:rPr>
                <w:rFonts w:ascii="Arial" w:hAnsi="Arial"/>
                <w:b/>
              </w:rPr>
            </w:pPr>
            <w:r>
              <w:rPr>
                <w:rFonts w:ascii="Arial" w:hAnsi="Arial"/>
                <w:b/>
              </w:rPr>
              <w:t>VII.</w:t>
            </w:r>
          </w:p>
        </w:tc>
        <w:tc>
          <w:tcPr>
            <w:tcW w:w="8793" w:type="dxa"/>
          </w:tcPr>
          <w:p w:rsidR="006B0748" w:rsidRDefault="006B0748">
            <w:pPr>
              <w:rPr>
                <w:rFonts w:ascii="Arial" w:hAnsi="Arial"/>
                <w:b/>
              </w:rPr>
            </w:pPr>
            <w:r>
              <w:rPr>
                <w:rFonts w:ascii="Arial" w:hAnsi="Arial"/>
                <w:b/>
              </w:rPr>
              <w:t>COURSE OUTLINE ADDENDUM:</w:t>
            </w:r>
          </w:p>
          <w:p w:rsidR="006B0748" w:rsidRDefault="006B0748">
            <w:pPr>
              <w:rPr>
                <w:rFonts w:ascii="Arial" w:hAnsi="Arial"/>
                <w:b/>
              </w:rPr>
            </w:pPr>
          </w:p>
        </w:tc>
      </w:tr>
      <w:tr w:rsidR="006B0748" w:rsidTr="006B0748">
        <w:trPr>
          <w:cantSplit/>
        </w:trPr>
        <w:tc>
          <w:tcPr>
            <w:tcW w:w="9468" w:type="dxa"/>
            <w:gridSpan w:val="2"/>
          </w:tcPr>
          <w:p w:rsidR="006B0748" w:rsidRDefault="006B0748">
            <w:pPr>
              <w:rPr>
                <w:rFonts w:ascii="Arial" w:hAnsi="Arial" w:cs="Arial"/>
                <w:szCs w:val="24"/>
                <w:u w:val="single"/>
              </w:rPr>
            </w:pPr>
            <w:r>
              <w:rPr>
                <w:rFonts w:ascii="Arial" w:hAnsi="Arial"/>
              </w:rPr>
              <w:t>The provisions contained in the addendum located on the portal form part of this course outline.</w:t>
            </w:r>
          </w:p>
          <w:p w:rsidR="006B0748" w:rsidRDefault="006B0748">
            <w:pPr>
              <w:rPr>
                <w:rFonts w:ascii="Arial" w:hAnsi="Arial"/>
              </w:rPr>
            </w:pPr>
          </w:p>
        </w:tc>
      </w:tr>
    </w:tbl>
    <w:p w:rsidR="006B0748" w:rsidRDefault="006B0748" w:rsidP="006B0748">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6F" w:rsidRDefault="0069366F">
      <w:r>
        <w:separator/>
      </w:r>
    </w:p>
  </w:endnote>
  <w:endnote w:type="continuationSeparator" w:id="0">
    <w:p w:rsidR="0069366F" w:rsidRDefault="0069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6F" w:rsidRDefault="0069366F">
      <w:r>
        <w:separator/>
      </w:r>
    </w:p>
  </w:footnote>
  <w:footnote w:type="continuationSeparator" w:id="0">
    <w:p w:rsidR="0069366F" w:rsidRDefault="0069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B074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B0748" w:rsidP="00243A34">
          <w:pPr>
            <w:rPr>
              <w:rFonts w:ascii="Arial" w:hAnsi="Arial"/>
              <w:snapToGrid w:val="0"/>
            </w:rPr>
          </w:pPr>
          <w:r>
            <w:rPr>
              <w:rFonts w:ascii="Arial" w:hAnsi="Arial"/>
            </w:rPr>
            <w:t>Canadian Aboriginal Peoples</w:t>
          </w:r>
        </w:p>
      </w:tc>
      <w:tc>
        <w:tcPr>
          <w:tcW w:w="1134" w:type="dxa"/>
        </w:tcPr>
        <w:p w:rsidR="0005601D" w:rsidRDefault="0005601D">
          <w:pPr>
            <w:pStyle w:val="Header"/>
            <w:jc w:val="center"/>
            <w:rPr>
              <w:rFonts w:ascii="Arial" w:hAnsi="Arial"/>
              <w:snapToGrid w:val="0"/>
            </w:rPr>
          </w:pPr>
        </w:p>
      </w:tc>
      <w:tc>
        <w:tcPr>
          <w:tcW w:w="3928" w:type="dxa"/>
        </w:tcPr>
        <w:p w:rsidR="0005601D" w:rsidRDefault="006B0748">
          <w:pPr>
            <w:pStyle w:val="Header"/>
            <w:jc w:val="right"/>
            <w:rPr>
              <w:rFonts w:ascii="Arial" w:hAnsi="Arial"/>
              <w:snapToGrid w:val="0"/>
            </w:rPr>
          </w:pPr>
          <w:r>
            <w:rPr>
              <w:rFonts w:ascii="Arial" w:hAnsi="Arial"/>
            </w:rPr>
            <w:t>NSW0</w:t>
          </w:r>
          <w:r>
            <w:rPr>
              <w:rFonts w:ascii="Arial" w:hAnsi="Arial"/>
            </w:rPr>
            <w:t>110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7"/>
  </w:num>
  <w:num w:numId="3">
    <w:abstractNumId w:val="11"/>
  </w:num>
  <w:num w:numId="4">
    <w:abstractNumId w:val="22"/>
  </w:num>
  <w:num w:numId="5">
    <w:abstractNumId w:val="28"/>
  </w:num>
  <w:num w:numId="6">
    <w:abstractNumId w:val="3"/>
  </w:num>
  <w:num w:numId="7">
    <w:abstractNumId w:val="1"/>
  </w:num>
  <w:num w:numId="8">
    <w:abstractNumId w:val="20"/>
  </w:num>
  <w:num w:numId="9">
    <w:abstractNumId w:val="24"/>
  </w:num>
  <w:num w:numId="10">
    <w:abstractNumId w:val="4"/>
  </w:num>
  <w:num w:numId="11">
    <w:abstractNumId w:val="18"/>
  </w:num>
  <w:num w:numId="12">
    <w:abstractNumId w:val="0"/>
  </w:num>
  <w:num w:numId="13">
    <w:abstractNumId w:val="25"/>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9366F"/>
    <w:rsid w:val="006B074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6B0748"/>
    <w:pPr>
      <w:spacing w:after="120"/>
    </w:pPr>
  </w:style>
  <w:style w:type="character" w:customStyle="1" w:styleId="BodyTextChar">
    <w:name w:val="Body Text Char"/>
    <w:basedOn w:val="DefaultParagraphFont"/>
    <w:link w:val="BodyText"/>
    <w:rsid w:val="006B074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6B0748"/>
    <w:pPr>
      <w:spacing w:after="120"/>
    </w:pPr>
  </w:style>
  <w:style w:type="character" w:customStyle="1" w:styleId="BodyTextChar">
    <w:name w:val="Body Text Char"/>
    <w:basedOn w:val="DefaultParagraphFont"/>
    <w:link w:val="BodyText"/>
    <w:rsid w:val="006B074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509229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075FE-1AF1-4D3E-9C7C-70568475F2AF}"/>
</file>

<file path=customXml/itemProps2.xml><?xml version="1.0" encoding="utf-8"?>
<ds:datastoreItem xmlns:ds="http://schemas.openxmlformats.org/officeDocument/2006/customXml" ds:itemID="{4225E93C-BA87-46AB-B0A8-A52761822887}"/>
</file>

<file path=customXml/itemProps3.xml><?xml version="1.0" encoding="utf-8"?>
<ds:datastoreItem xmlns:ds="http://schemas.openxmlformats.org/officeDocument/2006/customXml" ds:itemID="{70DE91B3-764D-4377-BE36-BB62A7DB065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2013-10-05T19:20:00Z</dcterms:created>
  <dcterms:modified xsi:type="dcterms:W3CDTF">2013-10-05T19:20:00Z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1344800</vt:r8>
  </property>
</Properties>
</file>